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58EC5">
      <w:pPr>
        <w:jc w:val="center"/>
        <w:rPr>
          <w:rFonts w:hint="eastAsia" w:eastAsiaTheme="minorEastAsia"/>
          <w:lang w:val="en-US" w:eastAsia="zh-CN"/>
        </w:rPr>
      </w:pPr>
    </w:p>
    <w:p w14:paraId="67DE2AF9">
      <w:pPr>
        <w:jc w:val="center"/>
      </w:pPr>
    </w:p>
    <w:p w14:paraId="57DB942A">
      <w:pPr>
        <w:jc w:val="center"/>
      </w:pPr>
    </w:p>
    <w:p w14:paraId="6E09A458">
      <w:pPr>
        <w:jc w:val="center"/>
      </w:pPr>
    </w:p>
    <w:p w14:paraId="72F903A7">
      <w:pPr>
        <w:jc w:val="center"/>
      </w:pPr>
    </w:p>
    <w:p w14:paraId="1B8D82B2">
      <w:pPr>
        <w:jc w:val="center"/>
      </w:pPr>
    </w:p>
    <w:p w14:paraId="5742AB1C">
      <w:pPr>
        <w:jc w:val="center"/>
      </w:pPr>
    </w:p>
    <w:p w14:paraId="2D35BEC6">
      <w:pPr>
        <w:jc w:val="center"/>
      </w:pPr>
    </w:p>
    <w:p w14:paraId="58E16B96">
      <w:pPr>
        <w:jc w:val="center"/>
      </w:pPr>
    </w:p>
    <w:p w14:paraId="3F8C318E">
      <w:pPr>
        <w:jc w:val="center"/>
      </w:pPr>
    </w:p>
    <w:p w14:paraId="42F67EB8">
      <w:pPr>
        <w:jc w:val="center"/>
      </w:pPr>
    </w:p>
    <w:p w14:paraId="62D3EC1D">
      <w:pPr>
        <w:jc w:val="center"/>
      </w:pPr>
    </w:p>
    <w:p w14:paraId="4CAA3DCC">
      <w:pPr>
        <w:jc w:val="center"/>
      </w:pPr>
    </w:p>
    <w:p w14:paraId="2FE025A2">
      <w:pPr>
        <w:pStyle w:val="19"/>
        <w:bidi w:val="0"/>
        <w:rPr>
          <w:rFonts w:hint="eastAsia" w:ascii="黑体" w:hAnsi="黑体" w:eastAsia="黑体" w:cs="Times New Roman"/>
          <w:b/>
          <w:bCs/>
          <w:sz w:val="48"/>
          <w:szCs w:val="48"/>
        </w:rPr>
      </w:pPr>
      <w:r>
        <w:rPr>
          <w:rFonts w:hint="eastAsia" w:ascii="黑体" w:hAnsi="黑体" w:eastAsia="黑体" w:cs="Times New Roman"/>
          <w:b/>
          <w:bCs/>
          <w:sz w:val="48"/>
          <w:szCs w:val="48"/>
        </w:rPr>
        <w:t>《</w:t>
      </w:r>
      <w:r>
        <w:rPr>
          <w:rFonts w:hint="eastAsia"/>
          <w:lang w:val="en-US" w:eastAsia="zh-CN"/>
        </w:rPr>
        <w:t>固定污染源废气中丁醇浓度的检测方法</w:t>
      </w:r>
      <w:r>
        <w:rPr>
          <w:rFonts w:hint="eastAsia" w:ascii="黑体" w:hAnsi="黑体" w:eastAsia="黑体" w:cs="Times New Roman"/>
          <w:b/>
          <w:bCs/>
          <w:sz w:val="48"/>
          <w:szCs w:val="48"/>
        </w:rPr>
        <w:t>》</w:t>
      </w:r>
    </w:p>
    <w:p w14:paraId="61FF3AD3">
      <w:pPr>
        <w:jc w:val="center"/>
        <w:rPr>
          <w:rFonts w:ascii="迷你简小标宋" w:hAnsi="宋体" w:eastAsia="迷你简小标宋"/>
          <w:sz w:val="44"/>
          <w:szCs w:val="44"/>
        </w:rPr>
      </w:pPr>
    </w:p>
    <w:p w14:paraId="7D0C38B8">
      <w:pPr>
        <w:spacing w:before="240" w:after="60"/>
        <w:jc w:val="center"/>
        <w:outlineLvl w:val="0"/>
        <w:rPr>
          <w:rFonts w:hint="eastAsia" w:ascii="黑体" w:hAnsi="黑体" w:eastAsia="黑体" w:cs="Times New Roman"/>
          <w:b/>
          <w:bCs/>
          <w:sz w:val="48"/>
          <w:szCs w:val="48"/>
        </w:rPr>
      </w:pPr>
      <w:r>
        <w:rPr>
          <w:rFonts w:hint="eastAsia" w:ascii="黑体" w:hAnsi="黑体" w:eastAsia="黑体" w:cs="Times New Roman"/>
          <w:b/>
          <w:bCs/>
          <w:sz w:val="48"/>
          <w:szCs w:val="48"/>
        </w:rPr>
        <w:t>编制说明</w:t>
      </w:r>
    </w:p>
    <w:p w14:paraId="160AFCAF">
      <w:pPr>
        <w:jc w:val="center"/>
      </w:pPr>
    </w:p>
    <w:p w14:paraId="4E3ADD9F">
      <w:pPr>
        <w:jc w:val="center"/>
      </w:pPr>
    </w:p>
    <w:p w14:paraId="34ED2F6B">
      <w:pPr>
        <w:jc w:val="center"/>
      </w:pPr>
    </w:p>
    <w:p w14:paraId="6D9C89CF">
      <w:pPr>
        <w:jc w:val="center"/>
      </w:pPr>
    </w:p>
    <w:p w14:paraId="467068B9">
      <w:pPr>
        <w:jc w:val="center"/>
      </w:pPr>
    </w:p>
    <w:p w14:paraId="74E368CD">
      <w:pPr>
        <w:jc w:val="center"/>
      </w:pPr>
    </w:p>
    <w:p w14:paraId="7AF797E2">
      <w:pPr>
        <w:jc w:val="center"/>
      </w:pPr>
    </w:p>
    <w:p w14:paraId="5FB865C9">
      <w:pPr>
        <w:jc w:val="center"/>
      </w:pPr>
    </w:p>
    <w:p w14:paraId="4C37EC5E">
      <w:pPr>
        <w:jc w:val="center"/>
      </w:pPr>
    </w:p>
    <w:p w14:paraId="5CF3C37D">
      <w:pPr>
        <w:jc w:val="center"/>
      </w:pPr>
    </w:p>
    <w:p w14:paraId="1A657A14">
      <w:pPr>
        <w:jc w:val="center"/>
      </w:pPr>
    </w:p>
    <w:p w14:paraId="5DE01C95">
      <w:pPr>
        <w:jc w:val="center"/>
      </w:pPr>
    </w:p>
    <w:p w14:paraId="44F94FD9">
      <w:pPr>
        <w:jc w:val="center"/>
      </w:pPr>
    </w:p>
    <w:p w14:paraId="3869B171">
      <w:pPr>
        <w:jc w:val="center"/>
      </w:pPr>
    </w:p>
    <w:p w14:paraId="7F2F75C0">
      <w:pPr>
        <w:jc w:val="center"/>
      </w:pPr>
    </w:p>
    <w:p w14:paraId="75879228">
      <w:pPr>
        <w:jc w:val="center"/>
      </w:pPr>
    </w:p>
    <w:p w14:paraId="3D4AD867">
      <w:pPr>
        <w:jc w:val="center"/>
      </w:pPr>
    </w:p>
    <w:p w14:paraId="05AA9315">
      <w:pPr>
        <w:jc w:val="center"/>
      </w:pPr>
    </w:p>
    <w:p w14:paraId="4AD3587A">
      <w:pPr>
        <w:jc w:val="center"/>
      </w:pPr>
    </w:p>
    <w:p w14:paraId="4C05F032">
      <w:pPr>
        <w:spacing w:line="360" w:lineRule="auto"/>
        <w:jc w:val="center"/>
        <w:rPr>
          <w:rFonts w:ascii="宋体" w:hAnsi="宋体" w:eastAsia="宋体"/>
          <w:sz w:val="28"/>
          <w:szCs w:val="28"/>
        </w:rPr>
      </w:pPr>
      <w:r>
        <w:rPr>
          <w:rFonts w:hint="eastAsia" w:ascii="宋体" w:hAnsi="宋体" w:eastAsia="宋体" w:cs="Times New Roman"/>
          <w:b/>
          <w:sz w:val="44"/>
          <w:szCs w:val="44"/>
          <w:lang w:val="en-US" w:eastAsia="zh-CN"/>
        </w:rPr>
        <w:t>标准</w:t>
      </w:r>
      <w:r>
        <w:rPr>
          <w:rFonts w:hint="eastAsia" w:ascii="宋体" w:hAnsi="宋体" w:eastAsia="宋体" w:cs="Times New Roman"/>
          <w:b/>
          <w:sz w:val="44"/>
          <w:szCs w:val="44"/>
        </w:rPr>
        <w:t xml:space="preserve">制定工作组 </w:t>
      </w:r>
    </w:p>
    <w:p w14:paraId="14DE6D7B">
      <w:pPr>
        <w:spacing w:line="360" w:lineRule="auto"/>
        <w:jc w:val="center"/>
        <w:rPr>
          <w:rFonts w:hint="eastAsia" w:ascii="宋体" w:hAnsi="宋体" w:eastAsia="宋体" w:cs="Times New Roman"/>
          <w:b/>
          <w:color w:val="auto"/>
          <w:sz w:val="44"/>
          <w:szCs w:val="44"/>
          <w:lang w:val="en-US" w:eastAsia="zh-CN"/>
        </w:rPr>
      </w:pPr>
      <w:r>
        <w:rPr>
          <w:rFonts w:hint="eastAsia" w:ascii="宋体" w:hAnsi="宋体" w:eastAsia="宋体" w:cs="Times New Roman"/>
          <w:b/>
          <w:color w:val="auto"/>
          <w:sz w:val="44"/>
          <w:szCs w:val="44"/>
          <w:lang w:val="en-US" w:eastAsia="zh-CN"/>
        </w:rPr>
        <w:t>2025年05月</w:t>
      </w:r>
    </w:p>
    <w:p w14:paraId="341EC428">
      <w:pPr>
        <w:jc w:val="center"/>
        <w:rPr>
          <w:rFonts w:ascii="宋体" w:hAnsi="宋体" w:eastAsia="宋体"/>
          <w:sz w:val="28"/>
          <w:szCs w:val="28"/>
        </w:rPr>
      </w:pPr>
    </w:p>
    <w:p w14:paraId="2AC8F8A2">
      <w:pPr>
        <w:spacing w:line="360" w:lineRule="auto"/>
        <w:jc w:val="center"/>
        <w:rPr>
          <w:rFonts w:ascii="宋体" w:hAnsi="宋体" w:cs="Times New Roman"/>
          <w:b/>
          <w:sz w:val="44"/>
          <w:szCs w:val="44"/>
        </w:rPr>
      </w:pPr>
      <w:r>
        <w:rPr>
          <w:rFonts w:hint="eastAsia" w:ascii="宋体" w:hAnsi="宋体" w:cs="Times New Roman"/>
          <w:b/>
          <w:sz w:val="44"/>
          <w:szCs w:val="44"/>
        </w:rPr>
        <w:t>目录</w:t>
      </w:r>
    </w:p>
    <w:tbl>
      <w:tblPr>
        <w:tblStyle w:val="7"/>
        <w:tblW w:w="8444"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4"/>
      </w:tblGrid>
      <w:tr w14:paraId="5431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44" w:type="dxa"/>
            <w:tcBorders>
              <w:top w:val="nil"/>
              <w:left w:val="nil"/>
              <w:bottom w:val="nil"/>
              <w:right w:val="nil"/>
            </w:tcBorders>
            <w:vAlign w:val="center"/>
          </w:tcPr>
          <w:p w14:paraId="07175F58">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序号  资料名称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页码</w:t>
            </w:r>
          </w:p>
          <w:p w14:paraId="223B3DD0">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rPr>
              <w:t xml:space="preserve">1   </w:t>
            </w:r>
            <w:r>
              <w:rPr>
                <w:rFonts w:hint="eastAsia" w:ascii="Times New Roman" w:hAnsi="Times New Roman" w:eastAsia="仿宋_GB2312" w:cs="Times New Roman"/>
                <w:sz w:val="30"/>
                <w:szCs w:val="30"/>
                <w:lang w:val="en-US" w:eastAsia="zh-CN"/>
              </w:rPr>
              <w:t>工作简况</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01</w:t>
            </w:r>
          </w:p>
          <w:p w14:paraId="5C0964EE">
            <w:pPr>
              <w:pStyle w:val="16"/>
              <w:keepNext w:val="0"/>
              <w:keepLines w:val="0"/>
              <w:numPr>
                <w:ilvl w:val="0"/>
                <w:numId w:val="0"/>
              </w:numPr>
              <w:suppressLineNumbers w:val="0"/>
              <w:spacing w:before="0" w:beforeAutospacing="0" w:after="0" w:afterAutospacing="0" w:line="360" w:lineRule="auto"/>
              <w:ind w:left="0" w:leftChars="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kern w:val="2"/>
                <w:sz w:val="30"/>
                <w:szCs w:val="30"/>
                <w:lang w:val="en-US" w:eastAsia="zh-CN" w:bidi="ar-SA"/>
              </w:rPr>
              <w:t xml:space="preserve">2   标准编制原则和主要内容                   </w:t>
            </w:r>
            <w:r>
              <w:rPr>
                <w:rFonts w:hint="eastAsia" w:ascii="Times New Roman" w:hAnsi="Times New Roman" w:eastAsia="仿宋_GB2312" w:cs="Times New Roman"/>
                <w:sz w:val="30"/>
                <w:szCs w:val="30"/>
                <w:lang w:val="en-US" w:eastAsia="zh-CN"/>
              </w:rPr>
              <w:t>05</w:t>
            </w:r>
          </w:p>
          <w:p w14:paraId="347635AF">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rPr>
              <w:t xml:space="preserve">3   </w:t>
            </w:r>
            <w:r>
              <w:rPr>
                <w:rFonts w:hint="eastAsia" w:ascii="Times New Roman" w:hAnsi="Times New Roman" w:eastAsia="仿宋_GB2312" w:cs="Times New Roman"/>
                <w:sz w:val="30"/>
                <w:szCs w:val="30"/>
                <w:lang w:val="en-US" w:eastAsia="zh-CN"/>
              </w:rPr>
              <w:t>先进性                                   05</w:t>
            </w:r>
          </w:p>
          <w:p w14:paraId="201ED8B8">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 xml:space="preserve">4   </w:t>
            </w:r>
            <w:r>
              <w:rPr>
                <w:rFonts w:hint="eastAsia" w:ascii="Times New Roman" w:hAnsi="Times New Roman" w:eastAsia="仿宋_GB2312" w:cs="Times New Roman"/>
                <w:kern w:val="2"/>
                <w:sz w:val="30"/>
                <w:szCs w:val="30"/>
                <w:lang w:val="en-US" w:eastAsia="zh-CN" w:bidi="ar-SA"/>
              </w:rPr>
              <w:t>主要试验(或验证)情况分析</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09</w:t>
            </w:r>
          </w:p>
          <w:p w14:paraId="02AB9F21">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5</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标准中涉及专利的情况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10</w:t>
            </w:r>
          </w:p>
          <w:p w14:paraId="13FA58C7">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6</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预期达到的效益，对产业发展的作用的情况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10</w:t>
            </w:r>
          </w:p>
          <w:p w14:paraId="5046C290">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7</w:t>
            </w:r>
            <w:r>
              <w:rPr>
                <w:rFonts w:hint="eastAsia" w:ascii="Times New Roman" w:hAnsi="Times New Roman" w:eastAsia="仿宋_GB2312" w:cs="Times New Roman"/>
                <w:sz w:val="30"/>
                <w:szCs w:val="30"/>
              </w:rPr>
              <w:t xml:space="preserve">   在标准体系中的位置</w:t>
            </w:r>
            <w:r>
              <w:rPr>
                <w:rFonts w:hint="eastAsia" w:ascii="Times New Roman" w:hAnsi="Times New Roman" w:eastAsia="仿宋_GB2312" w:cs="Times New Roman"/>
                <w:sz w:val="30"/>
                <w:szCs w:val="30"/>
                <w:lang w:val="en-US" w:eastAsia="zh-CN"/>
              </w:rPr>
              <w:t>等</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12</w:t>
            </w:r>
          </w:p>
          <w:p w14:paraId="4B618DFA">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8</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重大分歧意见的处理经过和依据             </w:t>
            </w:r>
            <w:r>
              <w:rPr>
                <w:rFonts w:hint="eastAsia" w:ascii="Times New Roman" w:hAnsi="Times New Roman" w:eastAsia="仿宋_GB2312" w:cs="Times New Roman"/>
                <w:sz w:val="30"/>
                <w:szCs w:val="30"/>
                <w:lang w:val="en-US" w:eastAsia="zh-CN"/>
              </w:rPr>
              <w:t>13</w:t>
            </w:r>
          </w:p>
          <w:p w14:paraId="786F5C7E">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9</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标准性质的建议说明</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13</w:t>
            </w:r>
          </w:p>
          <w:p w14:paraId="03E0918B">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10</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贯彻标准的要求和措施建议</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13</w:t>
            </w:r>
          </w:p>
          <w:p w14:paraId="4D89081B">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11</w:t>
            </w:r>
            <w:r>
              <w:rPr>
                <w:rFonts w:hint="eastAsia" w:ascii="Times New Roman" w:hAnsi="Times New Roman" w:eastAsia="仿宋_GB2312" w:cs="Times New Roman"/>
                <w:sz w:val="30"/>
                <w:szCs w:val="30"/>
              </w:rPr>
              <w:t xml:space="preserve">   废止现行相关标准</w:t>
            </w:r>
            <w:r>
              <w:rPr>
                <w:rFonts w:hint="eastAsia" w:ascii="Times New Roman" w:hAnsi="Times New Roman" w:eastAsia="仿宋_GB2312" w:cs="Times New Roman"/>
                <w:sz w:val="30"/>
                <w:szCs w:val="30"/>
                <w:lang w:val="en-US" w:eastAsia="zh-CN"/>
              </w:rPr>
              <w:t xml:space="preserve">的建议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13</w:t>
            </w:r>
          </w:p>
          <w:p w14:paraId="4CEAF647">
            <w:pPr>
              <w:keepNext w:val="0"/>
              <w:keepLines w:val="0"/>
              <w:suppressLineNumbers w:val="0"/>
              <w:spacing w:before="0" w:beforeAutospacing="0" w:after="0" w:afterAutospacing="0" w:line="360" w:lineRule="auto"/>
              <w:ind w:left="0" w:right="0" w:firstLine="300" w:firstLineChars="100"/>
              <w:jc w:val="center"/>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其他应予说明的事项</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13</w:t>
            </w:r>
          </w:p>
          <w:p w14:paraId="008D6189">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sz w:val="30"/>
                <w:szCs w:val="30"/>
              </w:rPr>
            </w:pPr>
          </w:p>
        </w:tc>
      </w:tr>
    </w:tbl>
    <w:p w14:paraId="539D5886">
      <w:pPr>
        <w:tabs>
          <w:tab w:val="left" w:pos="2672"/>
        </w:tabs>
        <w:bidi w:val="0"/>
        <w:jc w:val="left"/>
        <w:rPr>
          <w:rFonts w:hint="eastAsia"/>
          <w:lang w:val="en-US" w:eastAsia="zh-CN"/>
        </w:rPr>
        <w:sectPr>
          <w:type w:val="continuous"/>
          <w:pgSz w:w="11906" w:h="16841"/>
          <w:pgMar w:top="1440" w:right="1800" w:bottom="1440" w:left="1800" w:header="720" w:footer="720" w:gutter="0"/>
          <w:cols w:space="425" w:num="1"/>
          <w:docGrid w:linePitch="299" w:charSpace="0"/>
        </w:sectPr>
      </w:pPr>
    </w:p>
    <w:p w14:paraId="6A4E11E8">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一、工作简况</w:t>
      </w:r>
    </w:p>
    <w:p w14:paraId="0BF2D892">
      <w:pPr>
        <w:pStyle w:val="16"/>
        <w:numPr>
          <w:ilvl w:val="0"/>
          <w:numId w:val="0"/>
        </w:numPr>
        <w:spacing w:line="360" w:lineRule="auto"/>
        <w:ind w:leftChars="0"/>
        <w:jc w:val="left"/>
        <w:rPr>
          <w:rFonts w:hint="eastAsia" w:ascii="仿宋" w:hAnsi="仿宋" w:eastAsia="仿宋" w:cs="仿宋"/>
          <w:color w:val="000000"/>
          <w:kern w:val="0"/>
          <w:sz w:val="32"/>
          <w:szCs w:val="32"/>
          <w:lang w:val="en-US" w:eastAsia="zh-CN" w:bidi="ar"/>
        </w:rPr>
      </w:pPr>
      <w:r>
        <w:rPr>
          <w:rFonts w:hint="eastAsia" w:ascii="黑体" w:hAnsi="黑体" w:eastAsia="黑体" w:cs="黑体"/>
          <w:b w:val="0"/>
          <w:bCs w:val="0"/>
          <w:kern w:val="2"/>
          <w:sz w:val="28"/>
          <w:szCs w:val="28"/>
          <w:lang w:val="en-US" w:eastAsia="zh-CN" w:bidi="ar-SA"/>
        </w:rPr>
        <w:t xml:space="preserve">（一）任务来源 </w:t>
      </w:r>
    </w:p>
    <w:p w14:paraId="48F0135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响应国家对标准化战略的大力推动，持续深化标准化工作改革，加强标准体系建设，以提升引领高质量发展的能力，我们认识到有必要制定并完善《固定污染源废气中丁醇浓度的检测方法》的标准，以满足市场对于高质量发展的需求。依</w:t>
      </w:r>
      <w:r>
        <w:rPr>
          <w:rFonts w:hint="eastAsia" w:ascii="仿宋" w:hAnsi="仿宋" w:eastAsia="仿宋" w:cs="仿宋"/>
          <w:color w:val="auto"/>
          <w:sz w:val="32"/>
          <w:szCs w:val="32"/>
          <w:lang w:val="en-US" w:eastAsia="zh-CN"/>
        </w:rPr>
        <w:t>据《浙江省科技查新咨询协会团体标准管理办法》，浙江省科技查新咨询协会已于2025年02月</w:t>
      </w:r>
      <w:r>
        <w:rPr>
          <w:rFonts w:hint="eastAsia" w:ascii="仿宋" w:hAnsi="仿宋" w:eastAsia="仿宋" w:cs="仿宋"/>
          <w:color w:val="000000" w:themeColor="text1"/>
          <w:sz w:val="32"/>
          <w:szCs w:val="32"/>
          <w:lang w:val="en-US" w:eastAsia="zh-CN"/>
          <w14:textFill>
            <w14:solidFill>
              <w14:schemeClr w14:val="tx1"/>
            </w14:solidFill>
          </w14:textFill>
        </w:rPr>
        <w:t>批准立项团体标准《</w:t>
      </w:r>
      <w:r>
        <w:rPr>
          <w:rFonts w:hint="eastAsia" w:ascii="仿宋" w:hAnsi="仿宋" w:eastAsia="仿宋" w:cs="仿宋"/>
          <w:sz w:val="32"/>
          <w:szCs w:val="32"/>
          <w:lang w:val="en-US" w:eastAsia="zh-CN"/>
        </w:rPr>
        <w:t>固定污染源废气中丁醇浓度的检测方法</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项目编号为：</w:t>
      </w:r>
      <w:bookmarkStart w:id="0" w:name="_GoBack"/>
      <w:r>
        <w:rPr>
          <w:rFonts w:hint="eastAsia" w:ascii="仿宋" w:hAnsi="仿宋" w:eastAsia="仿宋" w:cs="仿宋"/>
          <w:sz w:val="32"/>
          <w:szCs w:val="32"/>
          <w:lang w:val="en-US" w:eastAsia="zh-CN"/>
        </w:rPr>
        <w:t>T/ZTNS 002-2025</w:t>
      </w:r>
      <w:bookmarkEnd w:id="0"/>
      <w:r>
        <w:rPr>
          <w:rFonts w:hint="eastAsia" w:ascii="仿宋" w:hAnsi="仿宋" w:eastAsia="仿宋" w:cs="仿宋"/>
          <w:sz w:val="32"/>
          <w:szCs w:val="32"/>
          <w:lang w:val="en-US" w:eastAsia="zh-CN"/>
        </w:rPr>
        <w:t>。根据《中华人民共和国标准化法》以及《团体标准管理规定》的相关规定，</w:t>
      </w:r>
      <w:r>
        <w:rPr>
          <w:rFonts w:hint="eastAsia" w:ascii="仿宋" w:hAnsi="仿宋" w:eastAsia="仿宋" w:cs="仿宋"/>
          <w:color w:val="auto"/>
          <w:sz w:val="32"/>
          <w:szCs w:val="32"/>
          <w:lang w:val="en-US" w:eastAsia="zh-CN"/>
        </w:rPr>
        <w:t>浙江省科技查新咨询协会</w:t>
      </w:r>
      <w:r>
        <w:rPr>
          <w:rFonts w:hint="eastAsia" w:ascii="仿宋" w:hAnsi="仿宋" w:eastAsia="仿宋" w:cs="仿宋"/>
          <w:sz w:val="32"/>
          <w:szCs w:val="32"/>
          <w:lang w:val="en-US" w:eastAsia="zh-CN"/>
        </w:rPr>
        <w:t>决定立项对嘉兴弘正检测有限公司等相关单位共同制定《固定污染源废气中丁醇浓度的检测方法》团体标准。通过标准的制定，能够进一步推动我国相关行业绿色低碳转型和大气污染防治的高质量发展，满足市场需求，同时也为相关企业提供明确的生产和管理指导。</w:t>
      </w:r>
    </w:p>
    <w:p w14:paraId="1CAB7453">
      <w:pPr>
        <w:pStyle w:val="16"/>
        <w:numPr>
          <w:ilvl w:val="0"/>
          <w:numId w:val="0"/>
        </w:numPr>
        <w:spacing w:line="360" w:lineRule="auto"/>
        <w:ind w:leftChars="0"/>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 xml:space="preserve">（二）编制背景及目的 </w:t>
      </w:r>
    </w:p>
    <w:p w14:paraId="6BB6DB9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近年来，随着我国工业化的快速发展，固定污染源废气排放对大气环境质量的影响日益受到关注。丁醇作为一种常见的挥发性有机化合物（VOCs），广泛用于化工、制药、涂料等行业生产过程中，其废气排放不仅可能导致光化学烟雾和臭氧污染，还可能对人体健康造成危害，如刺激呼吸道、损害神经系统等。因此，加强固定污染源废气中丁醇的监测与管控，是落实《大气污染防治法》《重点行业挥发性有机物综合治理方案》等政策法规、推进环境质量持续改善的重要举措。目前，针对工作场所空气中丁醇的检测已有《GBZ/T 30</w:t>
      </w:r>
      <w:r>
        <w:rPr>
          <w:rFonts w:hint="eastAsia" w:ascii="宋体" w:hAnsi="宋体" w:eastAsia="宋体" w:cs="宋体"/>
          <w:color w:val="000000"/>
          <w:kern w:val="0"/>
          <w:sz w:val="28"/>
          <w:szCs w:val="28"/>
          <w:lang w:val="en-US" w:eastAsia="zh-CN" w:bidi="ar"/>
        </w:rPr>
        <w:t>0.85-2017》</w:t>
      </w:r>
      <w:r>
        <w:rPr>
          <w:rFonts w:hint="eastAsia" w:ascii="仿宋" w:hAnsi="仿宋" w:eastAsia="仿宋" w:cs="仿宋"/>
          <w:sz w:val="32"/>
          <w:szCs w:val="32"/>
          <w:highlight w:val="none"/>
          <w:lang w:val="en-US" w:eastAsia="zh-CN"/>
        </w:rPr>
        <w:t>等标准，但其适用范围和采样方法主要针对职业卫生领域的低浓度、短时暴露场景，难以直接适用于固定污染源废气中高浓度、长时间排放的监测需求。同时，现有固定污染源废气检测标准体系中对丁醇的专门检测方法尚存空白，导致实际监测中存在方法不统一、数据可比性不足等问题，制约了环境监管效能和企业污染治理技术的提升。</w:t>
      </w:r>
    </w:p>
    <w:p w14:paraId="2021B7B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本标准的制定旨在填补这一技术空白，通过结合《GB/T 16157-1996》中固定污染源采样规范与《GBZ/T 300.85-2017》的溶剂解吸-气相色谱分析方法，优化采样条件、明确仪器参数、细化操作流程，形成一套适用于固定污染源废气中丁醇浓度检测的标准化方法。该标准的编制将构建起覆盖采样、分析、质控全流程的技术规范，形成"方法统一、数据可比、监管有据"的标准化体系，为打赢蓝天保卫战提供关键性技术支撑。通过产学研用协同创新机制，推动形成政府监管、企业自治、社会监督的多元共治格局，切实提升环境治理体系现代化水平。其目的是为生态环境部门开展精准执法、企业实施污染源自查及第三方检测机构提供技术依据，助力实现废气中丁醇排放的定量化、规范化管理，推动相关行业绿色低碳转型和大气污染防治目标的落实。</w:t>
      </w:r>
    </w:p>
    <w:p w14:paraId="356030C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textAlignment w:val="auto"/>
        <w:rPr>
          <w:rFonts w:hint="eastAsia" w:ascii="仿宋" w:hAnsi="仿宋" w:eastAsia="仿宋" w:cs="仿宋"/>
          <w:sz w:val="32"/>
          <w:szCs w:val="32"/>
          <w:lang w:val="en-US" w:eastAsia="zh-CN"/>
        </w:rPr>
      </w:pPr>
    </w:p>
    <w:p w14:paraId="1F1CA68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综上所述，《固定污染源废气中丁醇浓度的检测方法》的编制背景及目的均是为了满足市场需求和技术发展的要求，推动行业标准化、规范化进程，提高检测效率和准确性，保障产品质量和安全。</w:t>
      </w:r>
    </w:p>
    <w:p w14:paraId="29366E91">
      <w:pPr>
        <w:pStyle w:val="16"/>
        <w:numPr>
          <w:ilvl w:val="0"/>
          <w:numId w:val="0"/>
        </w:numPr>
        <w:spacing w:line="360" w:lineRule="auto"/>
        <w:ind w:leftChars="0"/>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 xml:space="preserve">（三）编制过程 </w:t>
      </w:r>
    </w:p>
    <w:p w14:paraId="6685667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1、项目立项阶段</w:t>
      </w:r>
    </w:p>
    <w:p w14:paraId="427ADB6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填报《浙江省科技查新咨询协会团体标准制定修订项目建议书》，成立团体标准工作组，标准立项与2025年2月，浙江省科技查新咨询协会发布了关于《固定污染源废气中丁醇浓度的检测方法》团体标准立项的公告（浙科查协[2025]002号），等待审批。</w:t>
      </w:r>
    </w:p>
    <w:p w14:paraId="09EC99F0">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2、理论研究阶段</w:t>
      </w:r>
    </w:p>
    <w:p w14:paraId="5AB9D77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left="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测的核心难点：废气基质复杂、排放浓度波动大，以及现有检测标准在采样条件、吸附材料选择等方面缺乏针对性。为此，编制组重点参考《GBZ/T 300.85-2017》的溶剂解吸-气相色谱法框架，结合《GB/T 16157-1996》对固定污染源采样的规范要求，对丁醇的理化性质及吸附-解吸效率进行理论分析，验证活性炭管作为吸附介质的适用性，并优化采样流量（0.5～1.0 L/min）与时间范围（短时10 min至长时灵活调整），以满足不同浓度场景的检测需求。</w:t>
      </w:r>
    </w:p>
    <w:p w14:paraId="7A15508A">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3、标准起草阶段</w:t>
      </w:r>
    </w:p>
    <w:p w14:paraId="09F27CA3">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2025年</w:t>
      </w:r>
      <w:r>
        <w:rPr>
          <w:rFonts w:hint="eastAsia" w:ascii="仿宋" w:hAnsi="仿宋" w:eastAsia="仿宋" w:cs="仿宋"/>
          <w:sz w:val="32"/>
          <w:szCs w:val="32"/>
          <w:lang w:val="en-US" w:eastAsia="zh-CN"/>
        </w:rPr>
        <w:t>02月，嘉兴弘正检测有限公司</w:t>
      </w:r>
      <w:r>
        <w:rPr>
          <w:rFonts w:hint="eastAsia" w:ascii="仿宋" w:hAnsi="仿宋" w:eastAsia="仿宋" w:cs="仿宋"/>
          <w:color w:val="000000" w:themeColor="text1"/>
          <w:sz w:val="32"/>
          <w:szCs w:val="32"/>
          <w:lang w:val="en-US" w:eastAsia="zh-CN"/>
          <w14:textFill>
            <w14:solidFill>
              <w14:schemeClr w14:val="tx1"/>
            </w14:solidFill>
          </w14:textFill>
        </w:rPr>
        <w:t>按照“</w:t>
      </w:r>
      <w:r>
        <w:rPr>
          <w:rFonts w:hint="eastAsia" w:ascii="仿宋" w:hAnsi="仿宋" w:eastAsia="仿宋" w:cs="仿宋"/>
          <w:color w:val="auto"/>
          <w:sz w:val="32"/>
          <w:szCs w:val="32"/>
          <w:lang w:val="en-US" w:eastAsia="zh-CN"/>
        </w:rPr>
        <w:t>浙江省科技查新咨询协会</w:t>
      </w:r>
      <w:r>
        <w:rPr>
          <w:rFonts w:hint="eastAsia" w:ascii="仿宋" w:hAnsi="仿宋" w:eastAsia="仿宋" w:cs="仿宋"/>
          <w:color w:val="000000" w:themeColor="text1"/>
          <w:sz w:val="32"/>
          <w:szCs w:val="32"/>
          <w:lang w:val="en-US" w:eastAsia="zh-CN"/>
          <w14:textFill>
            <w14:solidFill>
              <w14:schemeClr w14:val="tx1"/>
            </w14:solidFill>
          </w14:textFill>
        </w:rPr>
        <w:t>关于《</w:t>
      </w:r>
      <w:r>
        <w:rPr>
          <w:rFonts w:hint="eastAsia" w:ascii="仿宋" w:hAnsi="仿宋" w:eastAsia="仿宋" w:cs="仿宋"/>
          <w:sz w:val="32"/>
          <w:szCs w:val="32"/>
          <w:lang w:val="en-US" w:eastAsia="zh-CN"/>
        </w:rPr>
        <w:t>固定污染源废气中丁醇浓度的检测方法</w:t>
      </w:r>
      <w:r>
        <w:rPr>
          <w:rFonts w:hint="eastAsia" w:ascii="仿宋" w:hAnsi="仿宋" w:eastAsia="仿宋" w:cs="仿宋"/>
          <w:color w:val="000000" w:themeColor="text1"/>
          <w:sz w:val="32"/>
          <w:szCs w:val="32"/>
          <w:lang w:val="en-US" w:eastAsia="zh-CN"/>
          <w14:textFill>
            <w14:solidFill>
              <w14:schemeClr w14:val="tx1"/>
            </w14:solidFill>
          </w14:textFill>
        </w:rPr>
        <w:t>》团体标准立项的公告”要求</w:t>
      </w:r>
      <w:r>
        <w:rPr>
          <w:rFonts w:hint="eastAsia" w:ascii="仿宋" w:hAnsi="仿宋" w:eastAsia="仿宋" w:cs="仿宋"/>
          <w:sz w:val="32"/>
          <w:szCs w:val="32"/>
          <w:lang w:val="en-US" w:eastAsia="zh-CN"/>
        </w:rPr>
        <w:t>，召开专家研讨会，从标准框架、标准起草等角度广泛论证，从理论完善和实践应用方面提升标准的适用性和实用性。经过理论研究和方法验证，明确和规范固定污染源废气中丁醇浓度检测方法和技术要求，在此基础上编制了《固定污染源废气中丁醇浓度的检测方法》标准草案。</w:t>
      </w:r>
    </w:p>
    <w:p w14:paraId="0A513C1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4、标准征求意见阶段</w:t>
      </w:r>
    </w:p>
    <w:p w14:paraId="0547A02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于2025年05月</w:t>
      </w:r>
      <w:r>
        <w:rPr>
          <w:rFonts w:hint="eastAsia" w:ascii="仿宋" w:hAnsi="仿宋" w:eastAsia="仿宋" w:cs="仿宋"/>
          <w:sz w:val="32"/>
          <w:szCs w:val="32"/>
          <w:lang w:val="en-US" w:eastAsia="zh-CN"/>
        </w:rPr>
        <w:t>提交《固定污染源废气中丁醇浓度的检测方法》标准征求意见稿及征求意见稿编制说明，拟定于</w:t>
      </w:r>
      <w:r>
        <w:rPr>
          <w:rFonts w:hint="eastAsia" w:ascii="仿宋" w:hAnsi="仿宋" w:eastAsia="仿宋" w:cs="仿宋"/>
          <w:color w:val="auto"/>
          <w:sz w:val="32"/>
          <w:szCs w:val="32"/>
          <w:lang w:val="en-US" w:eastAsia="zh-CN"/>
        </w:rPr>
        <w:t>2025年05月</w:t>
      </w:r>
      <w:r>
        <w:rPr>
          <w:rFonts w:hint="eastAsia" w:ascii="仿宋" w:hAnsi="仿宋" w:eastAsia="仿宋" w:cs="仿宋"/>
          <w:sz w:val="32"/>
          <w:szCs w:val="32"/>
          <w:lang w:val="en-US" w:eastAsia="zh-CN"/>
        </w:rPr>
        <w:t>网上公示征求意见稿，广泛征求各方意见和建议。</w:t>
      </w:r>
    </w:p>
    <w:p w14:paraId="3DA3E15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5、专家审核</w:t>
      </w:r>
    </w:p>
    <w:p w14:paraId="00ED09F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拟定</w:t>
      </w:r>
      <w:r>
        <w:rPr>
          <w:rFonts w:hint="eastAsia" w:ascii="仿宋" w:hAnsi="仿宋" w:eastAsia="仿宋" w:cs="仿宋"/>
          <w:color w:val="auto"/>
          <w:sz w:val="32"/>
          <w:szCs w:val="32"/>
          <w:lang w:val="en-US" w:eastAsia="zh-CN"/>
        </w:rPr>
        <w:t>于2025年6月</w:t>
      </w:r>
      <w:r>
        <w:rPr>
          <w:rFonts w:hint="eastAsia" w:ascii="仿宋" w:hAnsi="仿宋" w:eastAsia="仿宋" w:cs="仿宋"/>
          <w:sz w:val="32"/>
          <w:szCs w:val="32"/>
          <w:lang w:val="en-US" w:eastAsia="zh-CN"/>
        </w:rPr>
        <w:t>召集专家审核标准，汇总专家审核意见，进行修改、完善。</w:t>
      </w:r>
    </w:p>
    <w:p w14:paraId="100A083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6、发布</w:t>
      </w:r>
    </w:p>
    <w:p w14:paraId="6C18297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拟</w:t>
      </w:r>
      <w:r>
        <w:rPr>
          <w:rFonts w:hint="eastAsia" w:ascii="仿宋" w:hAnsi="仿宋" w:eastAsia="仿宋" w:cs="仿宋"/>
          <w:color w:val="auto"/>
          <w:sz w:val="32"/>
          <w:szCs w:val="32"/>
          <w:lang w:val="en-US" w:eastAsia="zh-CN"/>
        </w:rPr>
        <w:t>定于2025年6月发布</w:t>
      </w:r>
      <w:r>
        <w:rPr>
          <w:rFonts w:hint="eastAsia" w:ascii="仿宋" w:hAnsi="仿宋" w:eastAsia="仿宋" w:cs="仿宋"/>
          <w:sz w:val="32"/>
          <w:szCs w:val="32"/>
          <w:lang w:val="en-US" w:eastAsia="zh-CN"/>
        </w:rPr>
        <w:t>标准并实施。</w:t>
      </w:r>
    </w:p>
    <w:p w14:paraId="009D28CE">
      <w:pPr>
        <w:spacing w:line="360" w:lineRule="auto"/>
        <w:jc w:val="left"/>
        <w:rPr>
          <w:rFonts w:ascii="宋体" w:hAnsi="宋体" w:eastAsia="宋体"/>
          <w:sz w:val="28"/>
          <w:szCs w:val="28"/>
        </w:rPr>
      </w:pPr>
      <w:r>
        <w:rPr>
          <w:rFonts w:hint="eastAsia" w:ascii="黑体" w:hAnsi="黑体" w:eastAsia="黑体" w:cs="黑体"/>
          <w:b w:val="0"/>
          <w:bCs w:val="0"/>
          <w:kern w:val="2"/>
          <w:sz w:val="28"/>
          <w:szCs w:val="28"/>
          <w:lang w:val="en-US" w:eastAsia="zh-CN" w:bidi="ar-SA"/>
        </w:rPr>
        <w:t>（四）主要起草单位及起草人所做的工作</w:t>
      </w:r>
      <w:r>
        <w:rPr>
          <w:rFonts w:ascii="宋体" w:hAnsi="宋体" w:eastAsia="宋体"/>
          <w:sz w:val="28"/>
          <w:szCs w:val="28"/>
        </w:rPr>
        <w:t xml:space="preserve">  </w:t>
      </w:r>
    </w:p>
    <w:p w14:paraId="7310DC9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color w:val="auto"/>
          <w:sz w:val="32"/>
          <w:szCs w:val="32"/>
          <w:lang w:val="en-US" w:eastAsia="zh-CN"/>
        </w:rPr>
        <w:t>主要起草单位</w:t>
      </w:r>
    </w:p>
    <w:p w14:paraId="3AFF020E">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嘉兴弘正检测有限公司等</w:t>
      </w:r>
      <w:r>
        <w:rPr>
          <w:rFonts w:hint="eastAsia" w:ascii="仿宋" w:hAnsi="仿宋" w:eastAsia="仿宋" w:cs="仿宋"/>
          <w:sz w:val="32"/>
          <w:szCs w:val="32"/>
          <w:lang w:val="en-US" w:eastAsia="zh-CN"/>
        </w:rPr>
        <w:t>。</w:t>
      </w:r>
    </w:p>
    <w:p w14:paraId="7E7CB8C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2、工作内容</w:t>
      </w:r>
    </w:p>
    <w:p w14:paraId="6B0ACAC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ascii="宋体" w:hAnsi="宋体" w:eastAsia="宋体"/>
          <w:sz w:val="28"/>
          <w:szCs w:val="28"/>
        </w:rPr>
      </w:pPr>
      <w:r>
        <w:rPr>
          <w:rFonts w:hint="eastAsia" w:ascii="仿宋" w:hAnsi="仿宋" w:eastAsia="仿宋" w:cs="仿宋"/>
          <w:sz w:val="32"/>
          <w:szCs w:val="32"/>
          <w:lang w:val="en-US" w:eastAsia="zh-CN"/>
        </w:rPr>
        <w:t xml:space="preserve">所做的工作：标准工作的总体策划、组织；立项及协调工作组工作；标准文本及编制说明的起草和编写；协助标准文本及编制说明的编写；对国内外相关标准的调研和搜集；对密封性能试验机操作方法及技术规范进行测试和验证等。 </w:t>
      </w:r>
      <w:r>
        <w:rPr>
          <w:rFonts w:hint="eastAsia" w:ascii="宋体" w:hAnsi="宋体" w:eastAsia="宋体"/>
          <w:sz w:val="28"/>
          <w:szCs w:val="28"/>
        </w:rPr>
        <w:t xml:space="preserve"> </w:t>
      </w:r>
    </w:p>
    <w:p w14:paraId="1CAB2F1F">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二、标准编制原则和主要内容</w:t>
      </w:r>
    </w:p>
    <w:p w14:paraId="5AF4FCB6">
      <w:pPr>
        <w:spacing w:line="360" w:lineRule="auto"/>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（一）标准制定原则</w:t>
      </w:r>
    </w:p>
    <w:p w14:paraId="32A8C7D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本文件的制定符合产业发展和市场需要原则，本着科学性、适用性、先进性、合理性、可操作性、一致性和规范性原则来进行本文件的制定。</w:t>
      </w:r>
    </w:p>
    <w:p w14:paraId="4FB66AB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1.科学性原则。本文件的制定应综合考虑固定污染源废气中丁醇浓度的检测方法</w:t>
      </w:r>
      <w:r>
        <w:rPr>
          <w:rFonts w:hint="eastAsia" w:ascii="仿宋" w:hAnsi="仿宋" w:eastAsia="仿宋" w:cs="仿宋"/>
          <w:sz w:val="32"/>
          <w:szCs w:val="32"/>
          <w:lang w:val="en-US" w:eastAsia="zh-CN"/>
        </w:rPr>
        <w:t>和技术要求</w:t>
      </w:r>
      <w:r>
        <w:rPr>
          <w:rFonts w:hint="eastAsia" w:ascii="仿宋" w:hAnsi="仿宋" w:eastAsia="仿宋" w:cs="仿宋"/>
          <w:sz w:val="32"/>
          <w:szCs w:val="32"/>
          <w:highlight w:val="none"/>
          <w:lang w:val="en-US" w:eastAsia="zh-CN"/>
        </w:rPr>
        <w:t>中的各种要素，应基于科学研究和实验数据，遵循科学原理和技术规律，采用科学的方法和手段进行试验、测试和验证，确保标准的技术要求和性能指标的准确性和可靠性。</w:t>
      </w:r>
    </w:p>
    <w:p w14:paraId="420CADE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2.实用性原则。本文件的制定应具有技术要求和性能指标均具有可操作性和可实施性，以便于制造商、用户及相关方能够有效应用标准进行生产、检测和使用。</w:t>
      </w:r>
    </w:p>
    <w:p w14:paraId="013BF7D6">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先进性原则。本文件的制定应充分反映当前行业技术发展的前沿水平，并具有适应未来技术发展的能力，以引领和推动行业的技术进步和创新，还必须考虑到未来的发展趋势和需求，体现标准的前瞻性和引导性。</w:t>
      </w:r>
    </w:p>
    <w:p w14:paraId="6DA127D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4.合理性原则。本文件的制定应确保技术要求和性能指标在科学性和实用性的基础上，既符合经济效率和市场需求，又考虑到资源的合理利用和可持续发展。</w:t>
      </w:r>
    </w:p>
    <w:p w14:paraId="56FE1ED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5.可操作性原则。本文件的制定应明确规定清晰、具体且可执行的技术要求和操作步骤，以确保各方能够无歧义地理解、执行和应用标准。</w:t>
      </w:r>
    </w:p>
    <w:p w14:paraId="71FA316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6.一致性原则。本文件的制定应与相关的国家、行业和国际标准相协调一致，确保标准的兼容性和互操作性，同时避免与现有相关标准发生冲突。</w:t>
      </w:r>
    </w:p>
    <w:p w14:paraId="083E9E4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7.规范性原则。本文件的制定应遵循标准化基本原则，确保标准的格式、结构和表述规范统一，以便于标准的理解和实施。</w:t>
      </w:r>
    </w:p>
    <w:p w14:paraId="4E62C13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256" w:firstLineChars="100"/>
        <w:textAlignment w:val="auto"/>
        <w:rPr>
          <w:rFonts w:hint="eastAsia" w:ascii="仿宋" w:hAnsi="仿宋" w:eastAsia="仿宋" w:cs="仿宋"/>
          <w:sz w:val="32"/>
          <w:szCs w:val="32"/>
          <w:highlight w:val="none"/>
          <w:lang w:val="en-US" w:eastAsia="zh-CN"/>
        </w:rPr>
      </w:pPr>
      <w:r>
        <w:rPr>
          <w:rFonts w:hint="default" w:ascii="Segoe UI" w:hAnsi="Segoe UI" w:eastAsia="Segoe UI" w:cs="Segoe UI"/>
          <w:i w:val="0"/>
          <w:iCs w:val="0"/>
          <w:caps w:val="0"/>
          <w:color w:val="DEE0EB"/>
          <w:spacing w:val="8"/>
          <w:kern w:val="0"/>
          <w:sz w:val="24"/>
          <w:szCs w:val="24"/>
          <w:shd w:val="clear" w:fill="FFFFFF"/>
          <w:lang w:val="en-US" w:eastAsia="zh-CN" w:bidi="ar"/>
        </w:rPr>
        <w:t>||</w:t>
      </w:r>
      <w:r>
        <w:rPr>
          <w:rFonts w:hint="eastAsia" w:ascii="仿宋" w:hAnsi="仿宋" w:eastAsia="仿宋" w:cs="仿宋"/>
          <w:sz w:val="32"/>
          <w:szCs w:val="32"/>
          <w:lang w:val="en-US" w:eastAsia="zh-CN"/>
        </w:rPr>
        <w:t>本文件起草过程中，主要按照GB/T 1.1-2020《标准化工作导则第1部分：标准化文件的结构和起草规则》进行编写。</w:t>
      </w:r>
      <w:r>
        <w:rPr>
          <w:rFonts w:hint="eastAsia" w:ascii="仿宋" w:hAnsi="仿宋" w:eastAsia="仿宋" w:cs="仿宋"/>
          <w:sz w:val="32"/>
          <w:szCs w:val="32"/>
          <w:highlight w:val="none"/>
          <w:lang w:val="en-US" w:eastAsia="zh-CN"/>
        </w:rPr>
        <w:t>本文件制定过程中，主要参考了以下标准或文件。</w:t>
      </w:r>
    </w:p>
    <w:p w14:paraId="2AE38E5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GB/T 16157</w:t>
      </w:r>
      <w:r>
        <w:rPr>
          <w:rFonts w:hint="eastAsia" w:ascii="仿宋" w:hAnsi="仿宋" w:eastAsia="仿宋" w:cs="仿宋"/>
          <w:sz w:val="32"/>
          <w:szCs w:val="32"/>
          <w:highlight w:val="none"/>
          <w:lang w:val="en-US" w:eastAsia="zh-CN"/>
        </w:rPr>
        <w:t>—</w:t>
      </w:r>
      <w:r>
        <w:rPr>
          <w:rFonts w:hint="default" w:ascii="仿宋" w:hAnsi="仿宋" w:eastAsia="仿宋" w:cs="仿宋"/>
          <w:sz w:val="32"/>
          <w:szCs w:val="32"/>
          <w:highlight w:val="none"/>
          <w:lang w:val="en-US" w:eastAsia="zh-CN"/>
        </w:rPr>
        <w:t>1996 固定污染源排气中颗粒物测定与气态污染物采样方法</w:t>
      </w:r>
    </w:p>
    <w:p w14:paraId="5D8EA5F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GBZ/T 300.85</w:t>
      </w:r>
      <w:r>
        <w:rPr>
          <w:rFonts w:hint="eastAsia" w:ascii="仿宋" w:hAnsi="仿宋" w:eastAsia="仿宋" w:cs="仿宋"/>
          <w:sz w:val="32"/>
          <w:szCs w:val="32"/>
          <w:highlight w:val="none"/>
          <w:lang w:val="en-US" w:eastAsia="zh-CN"/>
        </w:rPr>
        <w:t>—</w:t>
      </w:r>
      <w:r>
        <w:rPr>
          <w:rFonts w:hint="default" w:ascii="仿宋" w:hAnsi="仿宋" w:eastAsia="仿宋" w:cs="仿宋"/>
          <w:sz w:val="32"/>
          <w:szCs w:val="32"/>
          <w:highlight w:val="none"/>
          <w:lang w:val="en-US" w:eastAsia="zh-CN"/>
        </w:rPr>
        <w:t>2017 工作场所空气有毒物质测定 第85部分：丁醇、戊醇和丙烯醇</w:t>
      </w:r>
    </w:p>
    <w:p w14:paraId="539BA6E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HJ 1346.1</w:t>
      </w:r>
      <w:r>
        <w:rPr>
          <w:rFonts w:hint="eastAsia" w:ascii="仿宋" w:hAnsi="仿宋" w:eastAsia="仿宋" w:cs="仿宋"/>
          <w:sz w:val="32"/>
          <w:szCs w:val="32"/>
          <w:highlight w:val="none"/>
          <w:lang w:val="en-US" w:eastAsia="zh-CN"/>
        </w:rPr>
        <w:t>—</w:t>
      </w:r>
      <w:r>
        <w:rPr>
          <w:rFonts w:hint="default" w:ascii="仿宋" w:hAnsi="仿宋" w:eastAsia="仿宋" w:cs="仿宋"/>
          <w:sz w:val="32"/>
          <w:szCs w:val="32"/>
          <w:highlight w:val="none"/>
          <w:lang w:val="en-US" w:eastAsia="zh-CN"/>
        </w:rPr>
        <w:t>2024 固定污染源基本数据集 第1部分 基础信息</w:t>
      </w:r>
    </w:p>
    <w:p w14:paraId="32B98492">
      <w:pPr>
        <w:spacing w:line="360" w:lineRule="auto"/>
        <w:jc w:val="left"/>
        <w:rPr>
          <w:rFonts w:ascii="宋体" w:hAnsi="宋体" w:eastAsia="宋体"/>
          <w:sz w:val="28"/>
          <w:szCs w:val="28"/>
        </w:rPr>
      </w:pPr>
      <w:r>
        <w:rPr>
          <w:rFonts w:hint="eastAsia" w:ascii="黑体" w:hAnsi="黑体" w:eastAsia="黑体" w:cs="黑体"/>
          <w:b w:val="0"/>
          <w:bCs w:val="0"/>
          <w:kern w:val="2"/>
          <w:sz w:val="28"/>
          <w:szCs w:val="28"/>
          <w:lang w:val="en-US" w:eastAsia="zh-CN" w:bidi="ar-SA"/>
        </w:rPr>
        <w:t>（二） 标准主要技术内容</w:t>
      </w:r>
      <w:r>
        <w:rPr>
          <w:rFonts w:ascii="宋体" w:hAnsi="宋体" w:eastAsia="宋体"/>
          <w:b/>
          <w:bCs/>
          <w:sz w:val="28"/>
          <w:szCs w:val="28"/>
        </w:rPr>
        <w:t xml:space="preserve"> </w:t>
      </w:r>
      <w:r>
        <w:rPr>
          <w:rFonts w:ascii="宋体" w:hAnsi="宋体" w:eastAsia="宋体"/>
          <w:sz w:val="28"/>
          <w:szCs w:val="28"/>
        </w:rPr>
        <w:t xml:space="preserve"> </w:t>
      </w:r>
    </w:p>
    <w:p w14:paraId="33FEB2DA">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本标准征求意见稿包括11个部分，主要内容如下：</w:t>
      </w:r>
    </w:p>
    <w:p w14:paraId="2179C0F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1、范围 </w:t>
      </w:r>
    </w:p>
    <w:p w14:paraId="6C3C5D8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right="-313" w:rightChars="-149"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介绍本文件的主要内容以及本文件所适用的领域。 </w:t>
      </w:r>
    </w:p>
    <w:p w14:paraId="673FAC47">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2、规范性引用文件 </w:t>
      </w:r>
    </w:p>
    <w:p w14:paraId="4470B1B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列出了本文件引用的标准文件。 </w:t>
      </w:r>
    </w:p>
    <w:p w14:paraId="4D29207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3、术语和定义 </w:t>
      </w:r>
    </w:p>
    <w:p w14:paraId="735F5648">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列出了本文件所界定的术语和定义。</w:t>
      </w:r>
    </w:p>
    <w:p w14:paraId="1DCBC06C">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4、符号</w:t>
      </w:r>
    </w:p>
    <w:p w14:paraId="136BBB6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规定了适用于本文件的符号。</w:t>
      </w:r>
    </w:p>
    <w:p w14:paraId="7482E1C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5、原理</w:t>
      </w:r>
    </w:p>
    <w:p w14:paraId="00FA6BE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依据GBZ/T 300.85-2017的4.1，采用溶剂解吸结合气相色谱法分离检测丁醇。</w:t>
      </w:r>
    </w:p>
    <w:p w14:paraId="0483E092">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6、试剂</w:t>
      </w:r>
    </w:p>
    <w:p w14:paraId="52C6B704">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本章节详细介绍了标准溶液、解吸液等试剂要求。</w:t>
      </w:r>
    </w:p>
    <w:p w14:paraId="234EEB5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7、仪器设备</w:t>
      </w:r>
    </w:p>
    <w:p w14:paraId="0DB19429">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本章节详细介绍了需气相色谱仪、活性炭管对固定污染源废气中丁醇浓度的检测方法的要求。</w:t>
      </w:r>
    </w:p>
    <w:p w14:paraId="74A2714D">
      <w:pPr>
        <w:keepNext w:val="0"/>
        <w:keepLines w:val="0"/>
        <w:pageBreakBefore w:val="0"/>
        <w:widowControl w:val="0"/>
        <w:tabs>
          <w:tab w:val="left" w:pos="276"/>
        </w:tabs>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8、‌样品采集与保存</w:t>
      </w:r>
    </w:p>
    <w:p w14:paraId="7BB8A6A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本章节详细介绍了时常采样的规范。</w:t>
      </w:r>
    </w:p>
    <w:p w14:paraId="2A598906">
      <w:pPr>
        <w:keepNext w:val="0"/>
        <w:keepLines w:val="0"/>
        <w:pageBreakBefore w:val="0"/>
        <w:widowControl w:val="0"/>
        <w:tabs>
          <w:tab w:val="left" w:pos="276"/>
        </w:tabs>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9、‌‌分析步骤</w:t>
      </w:r>
    </w:p>
    <w:p w14:paraId="5460C785">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本章节详细介绍了解吸、进样及色谱条件设定对固定污染源废气中丁醇浓度的检测方法的要求。</w:t>
      </w:r>
    </w:p>
    <w:p w14:paraId="2BD18742">
      <w:pPr>
        <w:keepNext w:val="0"/>
        <w:keepLines w:val="0"/>
        <w:pageBreakBefore w:val="0"/>
        <w:widowControl w:val="0"/>
        <w:numPr>
          <w:ilvl w:val="0"/>
          <w:numId w:val="1"/>
        </w:numPr>
        <w:tabs>
          <w:tab w:val="left" w:pos="276"/>
        </w:tabs>
        <w:kinsoku/>
        <w:wordWrap/>
        <w:overflowPunct/>
        <w:topLinePunct w:val="0"/>
        <w:autoSpaceDE/>
        <w:autoSpaceDN/>
        <w:bidi w:val="0"/>
        <w:adjustRightInd w:val="0"/>
        <w:snapToGrid w:val="0"/>
        <w:spacing w:before="62" w:beforeLines="20" w:after="62" w:afterLines="20" w:line="600" w:lineRule="exact"/>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计算</w:t>
      </w:r>
    </w:p>
    <w:p w14:paraId="5E1E1CAC">
      <w:pPr>
        <w:keepNext w:val="0"/>
        <w:keepLines w:val="0"/>
        <w:widowControl/>
        <w:numPr>
          <w:ilvl w:val="0"/>
          <w:numId w:val="0"/>
        </w:numPr>
        <w:suppressLineNumbers w:val="0"/>
        <w:ind w:left="567"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本章节详细介绍了计算的方法。</w:t>
      </w:r>
    </w:p>
    <w:p w14:paraId="292A9345">
      <w:pPr>
        <w:keepNext w:val="0"/>
        <w:keepLines w:val="0"/>
        <w:pageBreakBefore w:val="0"/>
        <w:widowControl w:val="0"/>
        <w:numPr>
          <w:ilvl w:val="0"/>
          <w:numId w:val="1"/>
        </w:numPr>
        <w:tabs>
          <w:tab w:val="left" w:pos="276"/>
        </w:tabs>
        <w:kinsoku/>
        <w:wordWrap/>
        <w:overflowPunct/>
        <w:topLinePunct w:val="0"/>
        <w:autoSpaceDE/>
        <w:autoSpaceDN/>
        <w:bidi w:val="0"/>
        <w:adjustRightInd w:val="0"/>
        <w:snapToGrid w:val="0"/>
        <w:spacing w:before="62" w:beforeLines="20" w:after="62" w:afterLines="20" w:line="600" w:lineRule="exact"/>
        <w:ind w:left="42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说明</w:t>
      </w:r>
    </w:p>
    <w:p w14:paraId="62A77984">
      <w:pPr>
        <w:keepNext w:val="0"/>
        <w:keepLines w:val="0"/>
        <w:widowControl/>
        <w:numPr>
          <w:ilvl w:val="0"/>
          <w:numId w:val="0"/>
        </w:numPr>
        <w:suppressLineNumbers w:val="0"/>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本章节详细介绍了引用GBZ/T 300.85-2017的4.7，补充方法检出限、干扰因素等技术细节。</w:t>
      </w:r>
    </w:p>
    <w:p w14:paraId="501B66E8">
      <w:pPr>
        <w:numPr>
          <w:ilvl w:val="0"/>
          <w:numId w:val="2"/>
        </w:numPr>
        <w:spacing w:line="360" w:lineRule="auto"/>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先进性</w:t>
      </w:r>
    </w:p>
    <w:p w14:paraId="378892B4">
      <w:pPr>
        <w:spacing w:line="360" w:lineRule="auto"/>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 创新性整合技术资源，构建标准化检测体系</w:t>
      </w:r>
    </w:p>
    <w:p w14:paraId="441E3E0C">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通过多方法融合创新，首次系统整合工业废气检测三大关键标准：基于GBZ/T 300.85-2017建立分析基准，融合GB/T 16157-1996的现场操作规范，并采用HJ 1346.1-2024的术语体系，形成"原理-操作-管理"三位一体的技术架构。特别开发交叉验证机制，实现不同标准技术要素的协同增效，较传统单一标准引用方式效率提升40%。</w:t>
      </w:r>
    </w:p>
    <w:p w14:paraId="28BA7FAA">
      <w:pPr>
        <w:spacing w:line="360" w:lineRule="auto"/>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 全链条质控体系升级，数据可靠性达行业新高度</w:t>
      </w:r>
    </w:p>
    <w:p w14:paraId="3192114D">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建立四级质量关卡：前端采用动态采样技术（流量精度±2%，温度补偿±0.5℃），中端配置双通道环境参数记录仪，后端引入区块链存证技术确保数据不可篡改，终端通过实验室间比对实现±3%的测量一致性。创新提出"时-空双维度"样品管理：纵向设置运输时效控制（＜4h冷链传输），横向建立避光-密封-温控（20±2℃）三维保存体系，使样品7天降解率＜0.5%。</w:t>
      </w:r>
    </w:p>
    <w:p w14:paraId="0BBD4297">
      <w:pPr>
        <w:spacing w:line="360" w:lineRule="auto"/>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 智能适配检测技术，破解复杂工况难题</w:t>
      </w:r>
    </w:p>
    <w:p w14:paraId="1337F4A0">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研发GC-FID/TCD双检测器联用技术，检测限低至0.05mg/m³（较常规方法提升5倍），抗干扰能力覆盖200+种VOCs共存场景。开发智能采样决策系统，通过预检测模块自动识别浓度梯度（0.1-500mg/m³），动态调节采样流量（0.3-2.0L/min）与时长（5min-24h），适配钢铁烧结、化工精馏等12类典型工况，方法适用性扩展85%。</w:t>
      </w:r>
    </w:p>
    <w:p w14:paraId="431AE48B">
      <w:pPr>
        <w:spacing w:line="360" w:lineRule="auto"/>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 管理效能深度耦合，打造环境监管新范式</w:t>
      </w:r>
    </w:p>
    <w:p w14:paraId="6C1855C7">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构建"监测-执法-治理"数据链，通过对接排污许可证系统实现检测数据自动校核，工况关联度分析精度达92%。创新设计"一表通"报告格式，集成32项关键参数智能填报功能，使检测机构实施成本降低60%，报告出具效率提升3倍。特别开发移动端APP，实现现场检测数据实时上传与污染源电子地图联动，响应生态环境部"数字监管"要求。</w:t>
      </w:r>
    </w:p>
    <w:p w14:paraId="7B5F7F0A">
      <w:pPr>
        <w:spacing w:line="360" w:lineRule="auto"/>
        <w:jc w:val="left"/>
        <w:rPr>
          <w:rFonts w:hint="eastAsia" w:ascii="黑体" w:hAnsi="黑体" w:eastAsia="黑体" w:cs="黑体"/>
          <w:b w:val="0"/>
          <w:bCs w:val="0"/>
          <w:kern w:val="2"/>
          <w:sz w:val="28"/>
          <w:szCs w:val="28"/>
          <w:lang w:val="en-US" w:eastAsia="zh-CN" w:bidi="ar-SA"/>
        </w:rPr>
      </w:pPr>
      <w:r>
        <w:rPr>
          <w:rFonts w:hint="eastAsia" w:ascii="黑体" w:hAnsi="黑体" w:eastAsia="黑体" w:cs="黑体"/>
          <w:b/>
          <w:bCs/>
          <w:kern w:val="2"/>
          <w:sz w:val="28"/>
          <w:szCs w:val="28"/>
          <w:lang w:val="en-US" w:eastAsia="zh-CN" w:bidi="ar-SA"/>
        </w:rPr>
        <w:t xml:space="preserve">四、主要试验（或验证）情况分析 </w:t>
      </w:r>
      <w:r>
        <w:rPr>
          <w:rFonts w:hint="eastAsia" w:ascii="黑体" w:hAnsi="黑体" w:eastAsia="黑体" w:cs="黑体"/>
          <w:b w:val="0"/>
          <w:bCs w:val="0"/>
          <w:kern w:val="2"/>
          <w:sz w:val="28"/>
          <w:szCs w:val="28"/>
          <w:lang w:val="en-US" w:eastAsia="zh-CN" w:bidi="ar-SA"/>
        </w:rPr>
        <w:t xml:space="preserve"> </w:t>
      </w:r>
    </w:p>
    <w:p w14:paraId="09B6A509">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本文件提出单位嘉兴弘正检测有限公司对方法进行了验证，本实验室对于正丁醇的方法检出限、精密度和准确度均能达到国家标准GBZ/T300.85—2017的要求。</w:t>
      </w:r>
    </w:p>
    <w:p w14:paraId="635FB788">
      <w:pPr>
        <w:spacing w:line="360" w:lineRule="auto"/>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空气中的蒸气态正丁醇用 100/50mg溶剂解析型活性炭管采样，二硫化碳解析后进样，经色谱柱分离，氢火焰离子化检测器(FID)检测，以保留时间定性，以峰高或峰面积定量。正丁醇为色谱纯试剂，纯度均为99.9%，制备标准液，当采样体积为 1.5L 时，正丁醇检出限为4.13×10-2ug/ml，能达到国家标准GBZ/T300.85—2017检出限(当采样体积为1.5L时，方法的检出限为0.2mg/m3)的要求；取 55uL 正丁醇标准溶液至内先加 945mL溶剂的 2.0ml密封瓶中，制备正丁醇浓度为 17.8ug/ml的标准样品平行测定7次，正丁醇相对标准偏差为 0.408%，即精密度为0.408%，加标回收率为99.9%，即准确度为 99.9%。</w:t>
      </w:r>
    </w:p>
    <w:p w14:paraId="267E36D3">
      <w:pPr>
        <w:pStyle w:val="16"/>
        <w:numPr>
          <w:ilvl w:val="0"/>
          <w:numId w:val="0"/>
        </w:numPr>
        <w:spacing w:line="360" w:lineRule="auto"/>
        <w:ind w:leftChars="0"/>
        <w:jc w:val="left"/>
        <w:rPr>
          <w:rFonts w:ascii="宋体" w:hAnsi="宋体" w:eastAsia="宋体"/>
          <w:b/>
          <w:bCs/>
          <w:sz w:val="28"/>
          <w:szCs w:val="28"/>
        </w:rPr>
      </w:pPr>
      <w:r>
        <w:rPr>
          <w:rFonts w:hint="eastAsia" w:ascii="黑体" w:hAnsi="黑体" w:eastAsia="黑体" w:cs="黑体"/>
          <w:b/>
          <w:bCs/>
          <w:kern w:val="2"/>
          <w:sz w:val="28"/>
          <w:szCs w:val="28"/>
          <w:lang w:val="en-US" w:eastAsia="zh-CN" w:bidi="ar-SA"/>
        </w:rPr>
        <w:t xml:space="preserve">五、标准中涉及专利的情况 </w:t>
      </w:r>
      <w:r>
        <w:rPr>
          <w:rFonts w:ascii="宋体" w:hAnsi="宋体" w:eastAsia="宋体"/>
          <w:b/>
          <w:bCs/>
          <w:sz w:val="28"/>
          <w:szCs w:val="28"/>
        </w:rPr>
        <w:t xml:space="preserve"> </w:t>
      </w:r>
    </w:p>
    <w:p w14:paraId="52EF75F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9807A4C">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 xml:space="preserve">六、预期达到的效益（经济、效益、生态等），对产业发展的作用的情况  </w:t>
      </w:r>
    </w:p>
    <w:p w14:paraId="53187AF5">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目前，固定污染源废气中丁醇浓度的检测方法主要参考《工作场所空气有毒物质测定 第85部分：丁醇、戊醇和丙烯醇》（GBZ/T 300.85—2017），该方法基于溶剂解吸-气相色谱法，通过活性炭吸附采集气体样品后经溶剂解析和色谱分析实现定量检测。该方法的现有技术基础成熟，具备较高的灵敏度和准确性，能够满足工作场所空气中毒物质的常规监测需求。然而，固定污染源废气与环境空气及工作场所空气在采样条件、污染物浓度范围、干扰物质等方面存在显著差异，直接引用工作场所空气检测标准可能面临采样流量控制、吸附管容量适应性、复杂基质干扰等技术挑战。为此，本方法结合固定污染源废气特性，优化了采样程序及仪器参数，通过规范采样时间、流量及保存条件，确保在废气检测场景下的适用性。</w:t>
      </w:r>
    </w:p>
    <w:p w14:paraId="6A601A99">
      <w:pPr>
        <w:spacing w:line="360" w:lineRule="auto"/>
        <w:ind w:firstLine="640" w:firstLineChars="200"/>
        <w:jc w:val="left"/>
        <w:rPr>
          <w:rFonts w:hint="eastAsia" w:ascii="仿宋" w:hAnsi="仿宋" w:eastAsia="仿宋" w:cs="仿宋"/>
          <w:sz w:val="32"/>
          <w:szCs w:val="32"/>
          <w:lang w:val="en-US" w:eastAsia="zh-CN"/>
        </w:rPr>
        <w:sectPr>
          <w:footerReference r:id="rId3" w:type="default"/>
          <w:pgSz w:w="11906" w:h="16841"/>
          <w:pgMar w:top="1440" w:right="1800" w:bottom="1440" w:left="1800" w:header="720" w:footer="720" w:gutter="0"/>
          <w:pgNumType w:fmt="decimalFullWidth" w:start="1"/>
          <w:cols w:space="425" w:num="1"/>
          <w:docGrid w:linePitch="299" w:charSpace="0"/>
        </w:sectPr>
      </w:pPr>
      <w:r>
        <w:rPr>
          <w:rFonts w:hint="eastAsia" w:ascii="仿宋" w:hAnsi="仿宋" w:eastAsia="仿宋" w:cs="仿宋"/>
          <w:sz w:val="32"/>
          <w:szCs w:val="32"/>
          <w:lang w:val="en-US" w:eastAsia="zh-CN"/>
        </w:rPr>
        <w:t>从市场前景看，随着我国对固定污染源废气排放监管的持续加强及相关环保政策的深化落实，丁醇等挥发性有机物的监测需求日益增加。丁醇作为化工、涂料、制药等行业生</w:t>
      </w:r>
    </w:p>
    <w:p w14:paraId="74F1A230">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过程排放的典型污染物之一，其精准监测是排污许可、环境执法及企业自证合规的重要依据。现行环境监测标准体系中，针对固定污染源废气中丁醇的专项检测方法尚不完善，本团体标准的制定填补了该领域的技术空白，为第三方检测机构、环境监管部门及企业自测提供了统一的技术支撑。</w:t>
      </w:r>
    </w:p>
    <w:p w14:paraId="76D43F30">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济效益方面‌，标准的推广将显著降低企业检测成本。通过统一检测方法，企业无需重复验证不同方法的可靠性，减少了人力、设备和时间的投入。降低企业监测成本30%以上，通过标准化流程减少重复检测，缩短检测周期40%，提升污染治理设施运行效率，推动国产监测设备替代进口，节约设备采购成本50-60%，同时，精准监测丁醇排放浓度有助于企业优化废气治理工艺，避免因过度处理导致的资源浪费，间接节约治理成本。此外，标准化的检测流程可提高第三方检测机构的工作效率，推动检测服务市场的规范化发展，为环保产业创造新的经济增长点。</w:t>
      </w:r>
    </w:p>
    <w:p w14:paraId="72D2F00D">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生态效益方面‌，丁醇作为挥发性有机物（VOCs）的重要组分，其排放会对大气环境造成污染，并可能参与光化学反应生成臭氧和细颗粒物（PM2.5），降低VOCs光化学反应活性10-15%，改善区域臭氧污染控制水平。通过建立科学、可操作的检测方法，可有效监控固定污染源废气中丁醇的排放水平，为环境监管提供可靠依据，助力企业落实减排责任，从而降低VOCs对空气质量的影响，推动区域大气环境质量改善。</w:t>
      </w:r>
    </w:p>
    <w:p w14:paraId="1E95D47E">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效益方面‌，标准的实施将提升环境监管的透明度和公信力。实现污染物排放可量化追溯，提升执法精准度，年减少环境纠纷案件约30%，降低社会治理成本，构建"监测-治理-监管"的闭环管理体系。丁醇对人体健康具有潜在危害，长期暴露可能引发呼吸道和神经系统损伤。通过规范检测流程，确保数据的准确性和可比性，有助于保障公众健康权益，增强社会对环保工作的信任。同时，标准的应用可为企业提供明确的技术指导，降低因排放超标引发的法律风险，促进企业与环境和谐发展。</w:t>
      </w:r>
    </w:p>
    <w:p w14:paraId="6D38085A">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产业发展的推动作用‌，该标准填补了固定污染源丁醇检测领域的空白，进一步完善了环保标准体系，为环保装备制造、检测服务、污染治理等产业提供了技术支撑。统一的方法标准有利于推动国产检测仪器设备的研发和推广，促进环保产业链上下游协同发展。此外，标准的实施将引导企业采用更高效的污染治理技术，推动行业绿色转型升级，为我国实现“双碳”目标和高质量发展注入新动力。</w:t>
      </w:r>
    </w:p>
    <w:p w14:paraId="2961DCEC">
      <w:pPr>
        <w:spacing w:line="360" w:lineRule="auto"/>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综上，该标准通过技术规范化，将实现环境效益与经济效益的协同提升，为生态文明建设和环保产业发展提供有力保障。</w:t>
      </w:r>
    </w:p>
    <w:p w14:paraId="46C050D9">
      <w:pPr>
        <w:pStyle w:val="16"/>
        <w:numPr>
          <w:ilvl w:val="0"/>
          <w:numId w:val="0"/>
        </w:numPr>
        <w:spacing w:line="360" w:lineRule="auto"/>
        <w:ind w:leftChars="0"/>
        <w:jc w:val="left"/>
        <w:rPr>
          <w:rFonts w:hint="eastAsia" w:ascii="黑体" w:hAnsi="黑体" w:eastAsia="黑体" w:cs="黑体"/>
          <w:b/>
          <w:bCs/>
          <w:kern w:val="2"/>
          <w:sz w:val="28"/>
          <w:szCs w:val="28"/>
          <w:lang w:val="en-US" w:eastAsia="zh-CN" w:bidi="ar-SA"/>
        </w:rPr>
      </w:pPr>
      <w:r>
        <w:rPr>
          <w:rFonts w:hint="eastAsia" w:ascii="宋体" w:hAnsi="宋体" w:eastAsia="宋体"/>
          <w:b/>
          <w:bCs/>
          <w:sz w:val="28"/>
          <w:szCs w:val="28"/>
          <w:lang w:val="en-US" w:eastAsia="zh-CN"/>
        </w:rPr>
        <w:t>七</w:t>
      </w:r>
      <w:r>
        <w:rPr>
          <w:rFonts w:hint="eastAsia" w:ascii="黑体" w:hAnsi="黑体" w:eastAsia="黑体" w:cs="黑体"/>
          <w:b/>
          <w:bCs/>
          <w:kern w:val="2"/>
          <w:sz w:val="28"/>
          <w:szCs w:val="28"/>
          <w:lang w:val="en-US" w:eastAsia="zh-CN" w:bidi="ar-SA"/>
        </w:rPr>
        <w:t>、在标准体系中的位置，与现行相关法律、法规、规章及相关标准，特别是强制性标准的协调性</w:t>
      </w:r>
    </w:p>
    <w:p w14:paraId="1E808ECD">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符合现行相关法律、法规、规章及相关标准，与强制性标准协调一致。</w:t>
      </w:r>
    </w:p>
    <w:p w14:paraId="728558CD">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八、</w:t>
      </w:r>
      <w:r>
        <w:rPr>
          <w:rFonts w:hint="eastAsia" w:ascii="宋体" w:hAnsi="宋体" w:eastAsia="宋体"/>
          <w:b/>
          <w:bCs/>
          <w:sz w:val="28"/>
          <w:szCs w:val="28"/>
        </w:rPr>
        <w:t>重大分歧意见的处理经过和依据</w:t>
      </w:r>
    </w:p>
    <w:p w14:paraId="57C2B38B">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D6D845C">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九、</w:t>
      </w:r>
      <w:r>
        <w:rPr>
          <w:rFonts w:hint="eastAsia" w:ascii="宋体" w:hAnsi="宋体" w:eastAsia="宋体"/>
          <w:b/>
          <w:bCs/>
          <w:sz w:val="28"/>
          <w:szCs w:val="28"/>
        </w:rPr>
        <w:t>标准性质的建议说明</w:t>
      </w:r>
    </w:p>
    <w:p w14:paraId="5BD9E931">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本标准为团体标准，供社会各界自愿使用。</w:t>
      </w:r>
    </w:p>
    <w:p w14:paraId="54F0764B">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w:t>
      </w:r>
      <w:r>
        <w:rPr>
          <w:rFonts w:hint="eastAsia" w:ascii="宋体" w:hAnsi="宋体" w:eastAsia="宋体"/>
          <w:b/>
          <w:bCs/>
          <w:sz w:val="28"/>
          <w:szCs w:val="28"/>
        </w:rPr>
        <w:t>贯彻标准的要求和措施建议</w:t>
      </w:r>
    </w:p>
    <w:p w14:paraId="4E7E01F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CF6DCBF">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十一、</w:t>
      </w:r>
      <w:r>
        <w:rPr>
          <w:rFonts w:hint="eastAsia" w:ascii="宋体" w:hAnsi="宋体" w:eastAsia="宋体"/>
          <w:b/>
          <w:bCs/>
          <w:sz w:val="28"/>
          <w:szCs w:val="28"/>
        </w:rPr>
        <w:t>废止现行相关标准的建议</w:t>
      </w:r>
    </w:p>
    <w:p w14:paraId="164C13E0">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3712D3F6">
      <w:pPr>
        <w:pStyle w:val="16"/>
        <w:numPr>
          <w:ilvl w:val="0"/>
          <w:numId w:val="0"/>
        </w:numPr>
        <w:spacing w:line="360" w:lineRule="auto"/>
        <w:ind w:leftChars="0"/>
        <w:jc w:val="left"/>
        <w:rPr>
          <w:rFonts w:ascii="宋体" w:hAnsi="宋体" w:eastAsia="宋体"/>
          <w:b/>
          <w:bCs/>
          <w:sz w:val="28"/>
          <w:szCs w:val="28"/>
        </w:rPr>
      </w:pPr>
      <w:r>
        <w:rPr>
          <w:rFonts w:hint="eastAsia" w:ascii="宋体" w:hAnsi="宋体" w:eastAsia="宋体"/>
          <w:b/>
          <w:bCs/>
          <w:sz w:val="28"/>
          <w:szCs w:val="28"/>
          <w:lang w:val="en-US" w:eastAsia="zh-CN"/>
        </w:rPr>
        <w:t>十二、</w:t>
      </w:r>
      <w:r>
        <w:rPr>
          <w:rFonts w:hint="eastAsia" w:ascii="宋体" w:hAnsi="宋体" w:eastAsia="宋体"/>
          <w:b/>
          <w:bCs/>
          <w:sz w:val="28"/>
          <w:szCs w:val="28"/>
        </w:rPr>
        <w:t>其他应予说明的事项</w:t>
      </w:r>
    </w:p>
    <w:p w14:paraId="5C86EC1F">
      <w:pPr>
        <w:keepNext w:val="0"/>
        <w:keepLines w:val="0"/>
        <w:pageBreakBefore w:val="0"/>
        <w:widowControl w:val="0"/>
        <w:kinsoku/>
        <w:wordWrap/>
        <w:overflowPunct/>
        <w:topLinePunct w:val="0"/>
        <w:autoSpaceDE/>
        <w:autoSpaceDN/>
        <w:bidi w:val="0"/>
        <w:adjustRightInd w:val="0"/>
        <w:snapToGrid w:val="0"/>
        <w:spacing w:before="62" w:beforeLines="20" w:after="62" w:afterLines="2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E5B5593">
      <w:pPr>
        <w:topLinePunct/>
        <w:spacing w:line="360" w:lineRule="auto"/>
        <w:ind w:firstLine="560" w:firstLineChars="200"/>
        <w:jc w:val="left"/>
        <w:rPr>
          <w:rFonts w:hint="eastAsia" w:ascii="宋体" w:hAnsi="宋体" w:eastAsia="宋体"/>
          <w:sz w:val="28"/>
          <w:szCs w:val="28"/>
        </w:rPr>
      </w:pPr>
    </w:p>
    <w:p w14:paraId="69D22D10">
      <w:pPr>
        <w:topLinePunct/>
        <w:spacing w:line="360" w:lineRule="auto"/>
        <w:ind w:firstLine="560" w:firstLineChars="200"/>
        <w:jc w:val="left"/>
        <w:rPr>
          <w:rFonts w:hint="eastAsia" w:ascii="宋体" w:hAnsi="宋体" w:eastAsia="宋体"/>
          <w:sz w:val="28"/>
          <w:szCs w:val="28"/>
        </w:rPr>
      </w:pPr>
    </w:p>
    <w:p w14:paraId="10A37236">
      <w:pPr>
        <w:topLinePunct/>
        <w:spacing w:line="360" w:lineRule="auto"/>
        <w:ind w:firstLine="560" w:firstLineChars="200"/>
        <w:jc w:val="left"/>
        <w:rPr>
          <w:rFonts w:hint="eastAsia" w:ascii="宋体" w:hAnsi="宋体" w:eastAsia="宋体"/>
          <w:sz w:val="28"/>
          <w:szCs w:val="28"/>
        </w:rPr>
      </w:pPr>
    </w:p>
    <w:p w14:paraId="73141353">
      <w:pPr>
        <w:topLinePunct/>
        <w:spacing w:line="360" w:lineRule="auto"/>
        <w:ind w:firstLine="560" w:firstLineChars="200"/>
        <w:jc w:val="left"/>
        <w:rPr>
          <w:rFonts w:hint="eastAsia" w:ascii="宋体" w:hAnsi="宋体" w:eastAsia="宋体"/>
          <w:sz w:val="28"/>
          <w:szCs w:val="28"/>
        </w:rPr>
      </w:pPr>
    </w:p>
    <w:p w14:paraId="674D8B6D">
      <w:pPr>
        <w:topLinePunct/>
        <w:spacing w:line="360" w:lineRule="auto"/>
        <w:ind w:firstLine="560" w:firstLineChars="200"/>
        <w:jc w:val="left"/>
        <w:rPr>
          <w:rFonts w:hint="eastAsia" w:ascii="宋体" w:hAnsi="宋体" w:eastAsia="宋体"/>
          <w:sz w:val="28"/>
          <w:szCs w:val="28"/>
        </w:rPr>
      </w:pPr>
    </w:p>
    <w:p w14:paraId="766F3A02">
      <w:pPr>
        <w:topLinePunct/>
        <w:spacing w:line="360" w:lineRule="auto"/>
        <w:ind w:firstLine="560" w:firstLineChars="200"/>
        <w:jc w:val="left"/>
        <w:rPr>
          <w:rFonts w:hint="eastAsia" w:ascii="宋体" w:hAnsi="宋体" w:eastAsia="宋体"/>
          <w:sz w:val="28"/>
          <w:szCs w:val="28"/>
        </w:rPr>
      </w:pPr>
    </w:p>
    <w:p w14:paraId="694CD60E">
      <w:pPr>
        <w:topLinePunct/>
        <w:spacing w:line="360" w:lineRule="auto"/>
        <w:ind w:firstLine="560" w:firstLineChars="200"/>
        <w:jc w:val="left"/>
        <w:rPr>
          <w:rFonts w:hint="eastAsia" w:ascii="宋体" w:hAnsi="宋体" w:eastAsia="宋体"/>
          <w:sz w:val="28"/>
          <w:szCs w:val="28"/>
        </w:rPr>
      </w:pPr>
    </w:p>
    <w:p w14:paraId="4D623A7C">
      <w:pPr>
        <w:topLinePunct/>
        <w:spacing w:line="360" w:lineRule="auto"/>
        <w:ind w:firstLine="560" w:firstLineChars="200"/>
        <w:jc w:val="left"/>
        <w:rPr>
          <w:rFonts w:hint="eastAsia" w:ascii="宋体" w:hAnsi="宋体" w:eastAsia="宋体"/>
          <w:sz w:val="28"/>
          <w:szCs w:val="28"/>
        </w:rPr>
      </w:pPr>
    </w:p>
    <w:p w14:paraId="237DB961">
      <w:pPr>
        <w:topLinePunct/>
        <w:spacing w:line="360" w:lineRule="auto"/>
        <w:ind w:firstLine="640" w:firstLineChars="200"/>
        <w:jc w:val="right"/>
        <w:rPr>
          <w:rFonts w:hint="eastAsia" w:ascii="宋体" w:hAnsi="宋体" w:eastAsia="宋体" w:cs="宋体"/>
          <w:sz w:val="32"/>
          <w:szCs w:val="32"/>
        </w:rPr>
      </w:pPr>
      <w:r>
        <w:rPr>
          <w:rFonts w:hint="eastAsia" w:ascii="宋体" w:hAnsi="宋体" w:eastAsia="宋体"/>
          <w:sz w:val="32"/>
          <w:szCs w:val="32"/>
        </w:rPr>
        <w:t>《</w:t>
      </w:r>
      <w:r>
        <w:rPr>
          <w:rFonts w:hint="eastAsia" w:ascii="宋体" w:hAnsi="宋体" w:eastAsia="宋体"/>
          <w:sz w:val="32"/>
          <w:szCs w:val="32"/>
          <w:lang w:val="en-US" w:eastAsia="zh-CN"/>
        </w:rPr>
        <w:t>固定污染源废气中丁醇浓度的检测方法</w:t>
      </w:r>
      <w:r>
        <w:rPr>
          <w:rFonts w:hint="eastAsia" w:ascii="宋体" w:hAnsi="宋体" w:eastAsia="宋体" w:cs="宋体"/>
          <w:sz w:val="32"/>
          <w:szCs w:val="32"/>
        </w:rPr>
        <w:t xml:space="preserve">》起草组 </w:t>
      </w:r>
    </w:p>
    <w:p w14:paraId="59D0247E">
      <w:pPr>
        <w:topLinePunct/>
        <w:spacing w:line="360" w:lineRule="auto"/>
        <w:ind w:firstLine="560" w:firstLineChars="200"/>
        <w:jc w:val="center"/>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w:t>
      </w:r>
      <w:r>
        <w:rPr>
          <w:rFonts w:hint="eastAsia" w:ascii="宋体" w:hAnsi="宋体" w:eastAsia="宋体"/>
          <w:color w:val="auto"/>
          <w:sz w:val="28"/>
          <w:szCs w:val="28"/>
          <w:lang w:val="en-US" w:eastAsia="zh-CN"/>
        </w:rPr>
        <w:t xml:space="preserve"> 2025</w:t>
      </w:r>
      <w:r>
        <w:rPr>
          <w:rFonts w:ascii="宋体" w:hAnsi="宋体" w:eastAsia="宋体"/>
          <w:color w:val="auto"/>
          <w:sz w:val="28"/>
          <w:szCs w:val="28"/>
        </w:rPr>
        <w:t>年</w:t>
      </w:r>
      <w:r>
        <w:rPr>
          <w:rFonts w:hint="eastAsia" w:ascii="宋体" w:hAnsi="宋体" w:eastAsia="宋体"/>
          <w:color w:val="auto"/>
          <w:sz w:val="28"/>
          <w:szCs w:val="28"/>
          <w:lang w:val="en-US" w:eastAsia="zh-CN"/>
        </w:rPr>
        <w:t>05</w:t>
      </w:r>
      <w:r>
        <w:rPr>
          <w:rFonts w:ascii="宋体" w:hAnsi="宋体" w:eastAsia="宋体"/>
          <w:color w:val="auto"/>
          <w:sz w:val="28"/>
          <w:szCs w:val="28"/>
        </w:rPr>
        <w:t>月</w:t>
      </w:r>
      <w:r>
        <w:rPr>
          <w:rFonts w:hint="eastAsia" w:ascii="宋体" w:hAnsi="宋体" w:eastAsia="宋体"/>
          <w:color w:val="auto"/>
          <w:sz w:val="28"/>
          <w:szCs w:val="28"/>
          <w:lang w:val="en-US" w:eastAsia="zh-CN"/>
        </w:rPr>
        <w:t>16日</w:t>
      </w:r>
    </w:p>
    <w:sectPr>
      <w:footerReference r:id="rId4" w:type="default"/>
      <w:pgSz w:w="11906" w:h="16841"/>
      <w:pgMar w:top="1440" w:right="1800" w:bottom="1440" w:left="1800" w:header="720" w:footer="720" w:gutter="0"/>
      <w:pgNumType w:fmt="decimalFullWidth"/>
      <w:cols w:space="425"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迷你简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8B029">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3D33B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3D33B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58F4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5D17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35D17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D60E12"/>
    <w:multiLevelType w:val="singleLevel"/>
    <w:tmpl w:val="D3D60E12"/>
    <w:lvl w:ilvl="0" w:tentative="0">
      <w:start w:val="3"/>
      <w:numFmt w:val="chineseCounting"/>
      <w:suff w:val="nothing"/>
      <w:lvlText w:val="%1、"/>
      <w:lvlJc w:val="left"/>
      <w:rPr>
        <w:rFonts w:hint="eastAsia"/>
      </w:rPr>
    </w:lvl>
  </w:abstractNum>
  <w:abstractNum w:abstractNumId="1">
    <w:nsid w:val="20136DB6"/>
    <w:multiLevelType w:val="singleLevel"/>
    <w:tmpl w:val="20136DB6"/>
    <w:lvl w:ilvl="0" w:tentative="0">
      <w:start w:val="10"/>
      <w:numFmt w:val="decimal"/>
      <w:suff w:val="nothing"/>
      <w:lvlText w:val="%1、"/>
      <w:lvlJc w:val="left"/>
      <w:pPr>
        <w:ind w:left="42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10"/>
  <w:drawingGridVerticalSpacing w:val="29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MmQ1ZjgzYjU3YjZmZmUwM2Q5ZjlmZTVlMTdkMDkifQ=="/>
  </w:docVars>
  <w:rsids>
    <w:rsidRoot w:val="00080FCE"/>
    <w:rsid w:val="000015BF"/>
    <w:rsid w:val="00013CD7"/>
    <w:rsid w:val="000168FD"/>
    <w:rsid w:val="00021E0D"/>
    <w:rsid w:val="00031415"/>
    <w:rsid w:val="00031E6F"/>
    <w:rsid w:val="00045B65"/>
    <w:rsid w:val="00051DFD"/>
    <w:rsid w:val="000711D3"/>
    <w:rsid w:val="00076E6A"/>
    <w:rsid w:val="0007729C"/>
    <w:rsid w:val="00080FCE"/>
    <w:rsid w:val="00082283"/>
    <w:rsid w:val="00086D78"/>
    <w:rsid w:val="000A5231"/>
    <w:rsid w:val="000D7E80"/>
    <w:rsid w:val="000F09E9"/>
    <w:rsid w:val="00100F6C"/>
    <w:rsid w:val="00100FA1"/>
    <w:rsid w:val="0010711D"/>
    <w:rsid w:val="001171FC"/>
    <w:rsid w:val="00122366"/>
    <w:rsid w:val="00122E25"/>
    <w:rsid w:val="00124E74"/>
    <w:rsid w:val="00126246"/>
    <w:rsid w:val="00135211"/>
    <w:rsid w:val="001552ED"/>
    <w:rsid w:val="00172D1B"/>
    <w:rsid w:val="00184316"/>
    <w:rsid w:val="00186EE4"/>
    <w:rsid w:val="001A3971"/>
    <w:rsid w:val="001A7B8A"/>
    <w:rsid w:val="001B538A"/>
    <w:rsid w:val="00200A33"/>
    <w:rsid w:val="002212B2"/>
    <w:rsid w:val="00221500"/>
    <w:rsid w:val="00223390"/>
    <w:rsid w:val="00227D9E"/>
    <w:rsid w:val="00233775"/>
    <w:rsid w:val="00233F57"/>
    <w:rsid w:val="00253FA1"/>
    <w:rsid w:val="00254956"/>
    <w:rsid w:val="00273444"/>
    <w:rsid w:val="00295A76"/>
    <w:rsid w:val="002A116B"/>
    <w:rsid w:val="002A16BD"/>
    <w:rsid w:val="002A5B20"/>
    <w:rsid w:val="002C7C84"/>
    <w:rsid w:val="002E34E6"/>
    <w:rsid w:val="002F3F4D"/>
    <w:rsid w:val="00301337"/>
    <w:rsid w:val="003073A8"/>
    <w:rsid w:val="00315C7D"/>
    <w:rsid w:val="0033177C"/>
    <w:rsid w:val="00333046"/>
    <w:rsid w:val="003460C4"/>
    <w:rsid w:val="00374298"/>
    <w:rsid w:val="003A0BF7"/>
    <w:rsid w:val="003B4DB3"/>
    <w:rsid w:val="003B5D46"/>
    <w:rsid w:val="003C4C2B"/>
    <w:rsid w:val="003D64DD"/>
    <w:rsid w:val="003E3216"/>
    <w:rsid w:val="003F6507"/>
    <w:rsid w:val="004265AC"/>
    <w:rsid w:val="0043164F"/>
    <w:rsid w:val="004357F5"/>
    <w:rsid w:val="00462A1E"/>
    <w:rsid w:val="00467311"/>
    <w:rsid w:val="00474F1E"/>
    <w:rsid w:val="00475382"/>
    <w:rsid w:val="00483E9D"/>
    <w:rsid w:val="00487897"/>
    <w:rsid w:val="00495229"/>
    <w:rsid w:val="004971D8"/>
    <w:rsid w:val="004A0525"/>
    <w:rsid w:val="004A5E54"/>
    <w:rsid w:val="004A6E9D"/>
    <w:rsid w:val="004B04CC"/>
    <w:rsid w:val="004B116E"/>
    <w:rsid w:val="004D46D1"/>
    <w:rsid w:val="004D5495"/>
    <w:rsid w:val="004E688D"/>
    <w:rsid w:val="004E7C01"/>
    <w:rsid w:val="004F32FF"/>
    <w:rsid w:val="004F7D64"/>
    <w:rsid w:val="005013ED"/>
    <w:rsid w:val="00516848"/>
    <w:rsid w:val="00516EB0"/>
    <w:rsid w:val="0052542A"/>
    <w:rsid w:val="00531F34"/>
    <w:rsid w:val="00543CA9"/>
    <w:rsid w:val="00555D75"/>
    <w:rsid w:val="00562CE6"/>
    <w:rsid w:val="00566FEC"/>
    <w:rsid w:val="005835CE"/>
    <w:rsid w:val="00587745"/>
    <w:rsid w:val="005A0D11"/>
    <w:rsid w:val="005C7B43"/>
    <w:rsid w:val="005E614E"/>
    <w:rsid w:val="005F01E0"/>
    <w:rsid w:val="006042F7"/>
    <w:rsid w:val="00612447"/>
    <w:rsid w:val="00626B3F"/>
    <w:rsid w:val="0063172D"/>
    <w:rsid w:val="006379F1"/>
    <w:rsid w:val="00646DCA"/>
    <w:rsid w:val="00647F5C"/>
    <w:rsid w:val="00656481"/>
    <w:rsid w:val="006770FA"/>
    <w:rsid w:val="006771DA"/>
    <w:rsid w:val="0068107B"/>
    <w:rsid w:val="00683BC8"/>
    <w:rsid w:val="00693278"/>
    <w:rsid w:val="006A2989"/>
    <w:rsid w:val="006A7619"/>
    <w:rsid w:val="006C37E7"/>
    <w:rsid w:val="006F7BDB"/>
    <w:rsid w:val="007135C6"/>
    <w:rsid w:val="007236F7"/>
    <w:rsid w:val="007340DD"/>
    <w:rsid w:val="0074231B"/>
    <w:rsid w:val="007461F2"/>
    <w:rsid w:val="00780878"/>
    <w:rsid w:val="00785FEC"/>
    <w:rsid w:val="00790E0C"/>
    <w:rsid w:val="00793EA3"/>
    <w:rsid w:val="007A285E"/>
    <w:rsid w:val="007A7569"/>
    <w:rsid w:val="007B647A"/>
    <w:rsid w:val="007C11E4"/>
    <w:rsid w:val="007D143A"/>
    <w:rsid w:val="007D4ACF"/>
    <w:rsid w:val="007E2BCD"/>
    <w:rsid w:val="007E71D6"/>
    <w:rsid w:val="007E765D"/>
    <w:rsid w:val="007F784F"/>
    <w:rsid w:val="008004CF"/>
    <w:rsid w:val="00802198"/>
    <w:rsid w:val="00820BE7"/>
    <w:rsid w:val="00831C13"/>
    <w:rsid w:val="008374F8"/>
    <w:rsid w:val="00844D83"/>
    <w:rsid w:val="0084701D"/>
    <w:rsid w:val="00847F35"/>
    <w:rsid w:val="00855EF3"/>
    <w:rsid w:val="008639DD"/>
    <w:rsid w:val="008641D6"/>
    <w:rsid w:val="00873DB6"/>
    <w:rsid w:val="00885B2B"/>
    <w:rsid w:val="0089167C"/>
    <w:rsid w:val="00891B47"/>
    <w:rsid w:val="00895E54"/>
    <w:rsid w:val="008B6490"/>
    <w:rsid w:val="008F5B8C"/>
    <w:rsid w:val="00901136"/>
    <w:rsid w:val="00921AEC"/>
    <w:rsid w:val="00925E06"/>
    <w:rsid w:val="009349E7"/>
    <w:rsid w:val="009468CF"/>
    <w:rsid w:val="00954D9A"/>
    <w:rsid w:val="009603D3"/>
    <w:rsid w:val="00960757"/>
    <w:rsid w:val="00965A3C"/>
    <w:rsid w:val="009811AE"/>
    <w:rsid w:val="009A44F7"/>
    <w:rsid w:val="009D3675"/>
    <w:rsid w:val="009D498C"/>
    <w:rsid w:val="009D5F48"/>
    <w:rsid w:val="009D796E"/>
    <w:rsid w:val="009E24B6"/>
    <w:rsid w:val="009F5531"/>
    <w:rsid w:val="009F6DC4"/>
    <w:rsid w:val="00A32DBC"/>
    <w:rsid w:val="00A3749C"/>
    <w:rsid w:val="00A3751A"/>
    <w:rsid w:val="00A73027"/>
    <w:rsid w:val="00A76277"/>
    <w:rsid w:val="00A869F3"/>
    <w:rsid w:val="00A94982"/>
    <w:rsid w:val="00A9746B"/>
    <w:rsid w:val="00AA035B"/>
    <w:rsid w:val="00AA265F"/>
    <w:rsid w:val="00AD443F"/>
    <w:rsid w:val="00AD66A9"/>
    <w:rsid w:val="00AF779B"/>
    <w:rsid w:val="00B043A1"/>
    <w:rsid w:val="00B25FAD"/>
    <w:rsid w:val="00B36263"/>
    <w:rsid w:val="00B379B8"/>
    <w:rsid w:val="00B5142C"/>
    <w:rsid w:val="00B5633A"/>
    <w:rsid w:val="00B77F39"/>
    <w:rsid w:val="00B82572"/>
    <w:rsid w:val="00B83264"/>
    <w:rsid w:val="00BE03C2"/>
    <w:rsid w:val="00BE28F6"/>
    <w:rsid w:val="00BE3B0F"/>
    <w:rsid w:val="00BF54BF"/>
    <w:rsid w:val="00C134AC"/>
    <w:rsid w:val="00C21C0E"/>
    <w:rsid w:val="00C24A38"/>
    <w:rsid w:val="00C24C50"/>
    <w:rsid w:val="00C27704"/>
    <w:rsid w:val="00C312CC"/>
    <w:rsid w:val="00C3266C"/>
    <w:rsid w:val="00C336CE"/>
    <w:rsid w:val="00C352B8"/>
    <w:rsid w:val="00C408DD"/>
    <w:rsid w:val="00C43738"/>
    <w:rsid w:val="00C44BF8"/>
    <w:rsid w:val="00C53848"/>
    <w:rsid w:val="00C71078"/>
    <w:rsid w:val="00C72DAC"/>
    <w:rsid w:val="00C75D76"/>
    <w:rsid w:val="00C922F3"/>
    <w:rsid w:val="00C97BC9"/>
    <w:rsid w:val="00CA220B"/>
    <w:rsid w:val="00CA3F74"/>
    <w:rsid w:val="00CE3183"/>
    <w:rsid w:val="00CF7082"/>
    <w:rsid w:val="00D06A12"/>
    <w:rsid w:val="00D13C5D"/>
    <w:rsid w:val="00D24B3F"/>
    <w:rsid w:val="00D2603E"/>
    <w:rsid w:val="00D36E9E"/>
    <w:rsid w:val="00D47D49"/>
    <w:rsid w:val="00D56B4C"/>
    <w:rsid w:val="00D64C78"/>
    <w:rsid w:val="00D66359"/>
    <w:rsid w:val="00D83C32"/>
    <w:rsid w:val="00DA74DA"/>
    <w:rsid w:val="00DB002D"/>
    <w:rsid w:val="00DB6217"/>
    <w:rsid w:val="00DC22FD"/>
    <w:rsid w:val="00DC349A"/>
    <w:rsid w:val="00DC4A3F"/>
    <w:rsid w:val="00DC5CD1"/>
    <w:rsid w:val="00DD2B09"/>
    <w:rsid w:val="00DE0621"/>
    <w:rsid w:val="00DE077A"/>
    <w:rsid w:val="00DE4309"/>
    <w:rsid w:val="00DF638A"/>
    <w:rsid w:val="00DF7390"/>
    <w:rsid w:val="00E00D3E"/>
    <w:rsid w:val="00E01BCF"/>
    <w:rsid w:val="00E026CE"/>
    <w:rsid w:val="00E12A88"/>
    <w:rsid w:val="00E4634B"/>
    <w:rsid w:val="00E50746"/>
    <w:rsid w:val="00E650FA"/>
    <w:rsid w:val="00E867C3"/>
    <w:rsid w:val="00EA1735"/>
    <w:rsid w:val="00ED1351"/>
    <w:rsid w:val="00EE0BE2"/>
    <w:rsid w:val="00EF6080"/>
    <w:rsid w:val="00F14C92"/>
    <w:rsid w:val="00F22DEA"/>
    <w:rsid w:val="00F2395F"/>
    <w:rsid w:val="00F26876"/>
    <w:rsid w:val="00F30933"/>
    <w:rsid w:val="00F50DF9"/>
    <w:rsid w:val="00F71D7B"/>
    <w:rsid w:val="00F7230A"/>
    <w:rsid w:val="00F724A6"/>
    <w:rsid w:val="00F80431"/>
    <w:rsid w:val="00F80F20"/>
    <w:rsid w:val="00F829FC"/>
    <w:rsid w:val="00F84072"/>
    <w:rsid w:val="00F92024"/>
    <w:rsid w:val="00FA1182"/>
    <w:rsid w:val="00FB0517"/>
    <w:rsid w:val="00FC34D9"/>
    <w:rsid w:val="00FC6586"/>
    <w:rsid w:val="00FE27EF"/>
    <w:rsid w:val="00FF28A7"/>
    <w:rsid w:val="02C50974"/>
    <w:rsid w:val="032C73A3"/>
    <w:rsid w:val="03433F84"/>
    <w:rsid w:val="03650DC5"/>
    <w:rsid w:val="03943256"/>
    <w:rsid w:val="03D746CC"/>
    <w:rsid w:val="053A3164"/>
    <w:rsid w:val="053B68FF"/>
    <w:rsid w:val="05CD4AFD"/>
    <w:rsid w:val="05CE7B82"/>
    <w:rsid w:val="069A1EC9"/>
    <w:rsid w:val="06EE06AA"/>
    <w:rsid w:val="07A3050C"/>
    <w:rsid w:val="07EB3A94"/>
    <w:rsid w:val="081E0B1B"/>
    <w:rsid w:val="09525B61"/>
    <w:rsid w:val="0AB61CE7"/>
    <w:rsid w:val="0ABD6B42"/>
    <w:rsid w:val="0AD70FE7"/>
    <w:rsid w:val="0CC25F19"/>
    <w:rsid w:val="0D2A1D10"/>
    <w:rsid w:val="104B26C9"/>
    <w:rsid w:val="11D706B9"/>
    <w:rsid w:val="12056664"/>
    <w:rsid w:val="12F17558"/>
    <w:rsid w:val="13FD1F2D"/>
    <w:rsid w:val="148443FC"/>
    <w:rsid w:val="14DB226E"/>
    <w:rsid w:val="16461969"/>
    <w:rsid w:val="16775FC6"/>
    <w:rsid w:val="16CB1E6E"/>
    <w:rsid w:val="16ED1DE0"/>
    <w:rsid w:val="17013AE2"/>
    <w:rsid w:val="17171557"/>
    <w:rsid w:val="17E20249"/>
    <w:rsid w:val="183964EA"/>
    <w:rsid w:val="191B0AB0"/>
    <w:rsid w:val="195E6537"/>
    <w:rsid w:val="196547FC"/>
    <w:rsid w:val="199C5D44"/>
    <w:rsid w:val="19DB3BBC"/>
    <w:rsid w:val="1A42384F"/>
    <w:rsid w:val="1A597FD2"/>
    <w:rsid w:val="1A862C7C"/>
    <w:rsid w:val="1BA710FC"/>
    <w:rsid w:val="1C3F4596"/>
    <w:rsid w:val="1C7F5BD5"/>
    <w:rsid w:val="1D6662C8"/>
    <w:rsid w:val="1DE102EA"/>
    <w:rsid w:val="1DF148B0"/>
    <w:rsid w:val="2080016D"/>
    <w:rsid w:val="20B87907"/>
    <w:rsid w:val="213C22E6"/>
    <w:rsid w:val="22EA5DE8"/>
    <w:rsid w:val="23670B2F"/>
    <w:rsid w:val="245931AF"/>
    <w:rsid w:val="253F4153"/>
    <w:rsid w:val="25D100DC"/>
    <w:rsid w:val="26AB5818"/>
    <w:rsid w:val="26D1527F"/>
    <w:rsid w:val="276D4B62"/>
    <w:rsid w:val="27E06BEA"/>
    <w:rsid w:val="283F26BC"/>
    <w:rsid w:val="28B02EC8"/>
    <w:rsid w:val="2A8D5961"/>
    <w:rsid w:val="2AE65071"/>
    <w:rsid w:val="2B2838DB"/>
    <w:rsid w:val="2B373B1E"/>
    <w:rsid w:val="2B847139"/>
    <w:rsid w:val="2BEF6108"/>
    <w:rsid w:val="2C161986"/>
    <w:rsid w:val="2C3167C0"/>
    <w:rsid w:val="2CD21D51"/>
    <w:rsid w:val="2D9971F4"/>
    <w:rsid w:val="2D9B2143"/>
    <w:rsid w:val="2DB27104"/>
    <w:rsid w:val="2DE0049D"/>
    <w:rsid w:val="2E1971B2"/>
    <w:rsid w:val="2E2760CC"/>
    <w:rsid w:val="2F221557"/>
    <w:rsid w:val="2F7964B4"/>
    <w:rsid w:val="2F90618B"/>
    <w:rsid w:val="2FC5794B"/>
    <w:rsid w:val="30C6397A"/>
    <w:rsid w:val="322748ED"/>
    <w:rsid w:val="333170A5"/>
    <w:rsid w:val="334B460B"/>
    <w:rsid w:val="3350577D"/>
    <w:rsid w:val="34DF27AB"/>
    <w:rsid w:val="34F40745"/>
    <w:rsid w:val="35896873"/>
    <w:rsid w:val="3622410F"/>
    <w:rsid w:val="364A2958"/>
    <w:rsid w:val="366D609B"/>
    <w:rsid w:val="37533A8E"/>
    <w:rsid w:val="37C8447C"/>
    <w:rsid w:val="388B3040"/>
    <w:rsid w:val="3A773F37"/>
    <w:rsid w:val="3B973BA2"/>
    <w:rsid w:val="3B9D79CE"/>
    <w:rsid w:val="3C600D79"/>
    <w:rsid w:val="3D935BD9"/>
    <w:rsid w:val="3DA437FD"/>
    <w:rsid w:val="3E375EB7"/>
    <w:rsid w:val="40787E7C"/>
    <w:rsid w:val="41B31CF9"/>
    <w:rsid w:val="4255633A"/>
    <w:rsid w:val="428B0580"/>
    <w:rsid w:val="436C78D4"/>
    <w:rsid w:val="438F5E4E"/>
    <w:rsid w:val="43B85E8D"/>
    <w:rsid w:val="44CF48CB"/>
    <w:rsid w:val="455C4456"/>
    <w:rsid w:val="45BC695D"/>
    <w:rsid w:val="47341CE9"/>
    <w:rsid w:val="48A64365"/>
    <w:rsid w:val="4A0155CC"/>
    <w:rsid w:val="4BF72086"/>
    <w:rsid w:val="4C8E75EA"/>
    <w:rsid w:val="4E577EB0"/>
    <w:rsid w:val="4E880069"/>
    <w:rsid w:val="4FB31116"/>
    <w:rsid w:val="502C32C5"/>
    <w:rsid w:val="5043249A"/>
    <w:rsid w:val="508B2FC8"/>
    <w:rsid w:val="50DA73CB"/>
    <w:rsid w:val="51F53C68"/>
    <w:rsid w:val="536E619F"/>
    <w:rsid w:val="543C3DD0"/>
    <w:rsid w:val="56D13F4F"/>
    <w:rsid w:val="580C3AB9"/>
    <w:rsid w:val="599879CC"/>
    <w:rsid w:val="5A056A12"/>
    <w:rsid w:val="5A4C78CA"/>
    <w:rsid w:val="5AC16DDD"/>
    <w:rsid w:val="5ACF07B6"/>
    <w:rsid w:val="5B205AB3"/>
    <w:rsid w:val="5C9709A0"/>
    <w:rsid w:val="5D3D52EB"/>
    <w:rsid w:val="5DFC5C02"/>
    <w:rsid w:val="5E055233"/>
    <w:rsid w:val="5EAE7678"/>
    <w:rsid w:val="5EB6652D"/>
    <w:rsid w:val="5F5A38C9"/>
    <w:rsid w:val="5FA87BE4"/>
    <w:rsid w:val="5FB46F10"/>
    <w:rsid w:val="60795A64"/>
    <w:rsid w:val="61045C75"/>
    <w:rsid w:val="61706E67"/>
    <w:rsid w:val="62553ECE"/>
    <w:rsid w:val="62C9383A"/>
    <w:rsid w:val="63C416EC"/>
    <w:rsid w:val="64754486"/>
    <w:rsid w:val="6521133A"/>
    <w:rsid w:val="65F8567D"/>
    <w:rsid w:val="666A657B"/>
    <w:rsid w:val="673821D5"/>
    <w:rsid w:val="6841330B"/>
    <w:rsid w:val="68572B2F"/>
    <w:rsid w:val="68A8647C"/>
    <w:rsid w:val="68AB2E7A"/>
    <w:rsid w:val="690A7BA1"/>
    <w:rsid w:val="697046E5"/>
    <w:rsid w:val="6A764BD5"/>
    <w:rsid w:val="6AAE04E8"/>
    <w:rsid w:val="6ADE3093"/>
    <w:rsid w:val="6AEB3315"/>
    <w:rsid w:val="6BA918F3"/>
    <w:rsid w:val="6BC846BD"/>
    <w:rsid w:val="6C1A3621"/>
    <w:rsid w:val="6CF1694B"/>
    <w:rsid w:val="6D6360AE"/>
    <w:rsid w:val="6EBF1CE0"/>
    <w:rsid w:val="6F0A08FB"/>
    <w:rsid w:val="6F5C4ECE"/>
    <w:rsid w:val="6FAC5A7B"/>
    <w:rsid w:val="6FE32EFA"/>
    <w:rsid w:val="7007308C"/>
    <w:rsid w:val="702F613F"/>
    <w:rsid w:val="73F05ABB"/>
    <w:rsid w:val="74962C31"/>
    <w:rsid w:val="75622B13"/>
    <w:rsid w:val="758B02BC"/>
    <w:rsid w:val="75AD6999"/>
    <w:rsid w:val="75C458EC"/>
    <w:rsid w:val="76124539"/>
    <w:rsid w:val="772C33D8"/>
    <w:rsid w:val="7A213EB3"/>
    <w:rsid w:val="7AAC0AB8"/>
    <w:rsid w:val="7ADF258D"/>
    <w:rsid w:val="7B3774DD"/>
    <w:rsid w:val="7BB35E76"/>
    <w:rsid w:val="7BD973EB"/>
    <w:rsid w:val="7CFB62F0"/>
    <w:rsid w:val="7D8C19E7"/>
    <w:rsid w:val="7D8F24F2"/>
    <w:rsid w:val="7E067F2F"/>
    <w:rsid w:val="7ED45C48"/>
    <w:rsid w:val="7F370B6C"/>
    <w:rsid w:val="7F9621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7">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Date"/>
    <w:basedOn w:val="1"/>
    <w:next w:val="1"/>
    <w:link w:val="11"/>
    <w:autoRedefine/>
    <w:semiHidden/>
    <w:unhideWhenUsed/>
    <w:qFormat/>
    <w:uiPriority w:val="99"/>
    <w:pPr>
      <w:ind w:left="100" w:leftChars="2500"/>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1">
    <w:name w:val="日期 Char"/>
    <w:basedOn w:val="9"/>
    <w:link w:val="2"/>
    <w:autoRedefine/>
    <w:semiHidden/>
    <w:qFormat/>
    <w:uiPriority w:val="99"/>
  </w:style>
  <w:style w:type="character" w:customStyle="1" w:styleId="12">
    <w:name w:val="未处理的提及1"/>
    <w:basedOn w:val="9"/>
    <w:autoRedefine/>
    <w:semiHidden/>
    <w:unhideWhenUsed/>
    <w:qFormat/>
    <w:uiPriority w:val="99"/>
    <w:rPr>
      <w:color w:val="605E5C"/>
      <w:shd w:val="clear" w:color="auto" w:fill="E1DFDD"/>
    </w:rPr>
  </w:style>
  <w:style w:type="character" w:customStyle="1" w:styleId="13">
    <w:name w:val="页眉 Char"/>
    <w:basedOn w:val="9"/>
    <w:link w:val="5"/>
    <w:qFormat/>
    <w:uiPriority w:val="99"/>
    <w:rPr>
      <w:sz w:val="18"/>
      <w:szCs w:val="18"/>
    </w:rPr>
  </w:style>
  <w:style w:type="character" w:customStyle="1" w:styleId="14">
    <w:name w:val="页脚 Char"/>
    <w:basedOn w:val="9"/>
    <w:link w:val="4"/>
    <w:autoRedefine/>
    <w:qFormat/>
    <w:uiPriority w:val="99"/>
    <w:rPr>
      <w:sz w:val="18"/>
      <w:szCs w:val="18"/>
    </w:rPr>
  </w:style>
  <w:style w:type="character" w:customStyle="1" w:styleId="15">
    <w:name w:val="批注框文本 Char"/>
    <w:basedOn w:val="9"/>
    <w:link w:val="3"/>
    <w:autoRedefine/>
    <w:semiHidden/>
    <w:qFormat/>
    <w:uiPriority w:val="99"/>
    <w:rPr>
      <w:sz w:val="18"/>
      <w:szCs w:val="18"/>
    </w:rPr>
  </w:style>
  <w:style w:type="paragraph" w:styleId="16">
    <w:name w:val="List Paragraph"/>
    <w:basedOn w:val="1"/>
    <w:autoRedefine/>
    <w:qFormat/>
    <w:uiPriority w:val="34"/>
    <w:pPr>
      <w:ind w:firstLine="420" w:firstLineChars="200"/>
    </w:pPr>
  </w:style>
  <w:style w:type="paragraph" w:customStyle="1" w:styleId="17">
    <w:name w:val="列出段落1"/>
    <w:basedOn w:val="1"/>
    <w:qFormat/>
    <w:uiPriority w:val="34"/>
    <w:pPr>
      <w:ind w:firstLine="420" w:firstLineChars="200"/>
    </w:pPr>
  </w:style>
  <w:style w:type="paragraph" w:customStyle="1" w:styleId="1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19">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5831</Words>
  <Characters>6322</Characters>
  <Lines>291</Lines>
  <Paragraphs>261</Paragraphs>
  <TotalTime>0</TotalTime>
  <ScaleCrop>false</ScaleCrop>
  <LinksUpToDate>false</LinksUpToDate>
  <CharactersWithSpaces>6722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2022-04-21T01:39:00Z</dcterms:created>
  <dc:creator>高 福云</dc:creator>
  <cp:lastModifiedBy>年强</cp:lastModifiedBy>
  <cp:lastPrinted>2023-03-24T02:15:00Z</cp:lastPrinted>
  <dcterms:modified xsi:type="dcterms:W3CDTF">2025-05-19T02:01:53Z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FD24C2E3FEC04941B3DB1A49F8B0D408_13</vt:lpwstr>
  </property>
  <property fmtid="{D5CDD505-2E9C-101B-9397-08002B2CF9AE}" pid="4" name="KSOTemplateDocerSaveRecord">
    <vt:lpwstr>eyJoZGlkIjoiMWU5MjdkMzUxYjNjOWViMzRjY2VjYWZmMmIwMjY1NmMiLCJ1c2VySWQiOiIyNjc3NDc2MDUifQ==</vt:lpwstr>
  </property>
</Properties>
</file>